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7B5D" w14:textId="77777777" w:rsidR="00166020" w:rsidRPr="00613F20" w:rsidRDefault="00166020" w:rsidP="00166020">
      <w:pPr>
        <w:rPr>
          <w:rFonts w:ascii="Amasis MT Pro" w:hAnsi="Amasis MT Pro"/>
        </w:rPr>
      </w:pPr>
    </w:p>
    <w:p w14:paraId="271E8D6D" w14:textId="147D7F61" w:rsidR="00166020" w:rsidRPr="00613F20" w:rsidRDefault="00745826" w:rsidP="00166020">
      <w:pPr>
        <w:spacing w:after="0"/>
        <w:ind w:left="720" w:right="-426" w:hanging="810"/>
        <w:jc w:val="center"/>
        <w:rPr>
          <w:rFonts w:ascii="Amasis MT Pro" w:hAnsi="Amasis MT Pro" w:cs="Arial"/>
          <w:b/>
          <w:bCs/>
          <w:sz w:val="24"/>
          <w:szCs w:val="24"/>
        </w:rPr>
      </w:pPr>
      <w:r w:rsidRPr="00613F20">
        <w:rPr>
          <w:rFonts w:ascii="Amasis MT Pro" w:hAnsi="Amasis MT Pro" w:cs="Arial"/>
          <w:b/>
          <w:bCs/>
          <w:sz w:val="24"/>
          <w:szCs w:val="24"/>
        </w:rPr>
        <w:t xml:space="preserve">CROSS OWNERSHIP BETWEEN PARENT-SUBSIDIARY COMPANIES IN VIETNAM – </w:t>
      </w:r>
    </w:p>
    <w:p w14:paraId="5A2459AD" w14:textId="7F4629DF" w:rsidR="00166020" w:rsidRPr="00613F20" w:rsidRDefault="00745826" w:rsidP="00166020">
      <w:pPr>
        <w:spacing w:after="0"/>
        <w:ind w:left="720" w:right="-426" w:hanging="810"/>
        <w:jc w:val="center"/>
        <w:rPr>
          <w:rFonts w:ascii="Amasis MT Pro" w:hAnsi="Amasis MT Pro" w:cs="Arial"/>
          <w:b/>
          <w:bCs/>
          <w:sz w:val="24"/>
          <w:szCs w:val="24"/>
        </w:rPr>
      </w:pPr>
      <w:r w:rsidRPr="00613F20">
        <w:rPr>
          <w:rFonts w:ascii="Amasis MT Pro" w:hAnsi="Amasis MT Pro" w:cs="Arial"/>
          <w:b/>
          <w:bCs/>
          <w:sz w:val="24"/>
          <w:szCs w:val="24"/>
        </w:rPr>
        <w:t>LEGAL AND REGULATORY NOTES</w:t>
      </w:r>
    </w:p>
    <w:p w14:paraId="3F911BD6" w14:textId="77777777" w:rsidR="00166020" w:rsidRPr="00613F20" w:rsidRDefault="00166020" w:rsidP="00166020">
      <w:pPr>
        <w:spacing w:after="0"/>
        <w:ind w:left="720" w:hanging="360"/>
        <w:jc w:val="center"/>
        <w:rPr>
          <w:rFonts w:ascii="Amasis MT Pro" w:hAnsi="Amasis MT Pro" w:cs="Arial"/>
          <w:b/>
          <w:bCs/>
          <w:sz w:val="24"/>
          <w:szCs w:val="24"/>
        </w:rPr>
      </w:pPr>
    </w:p>
    <w:p w14:paraId="3CE5C05A" w14:textId="77777777" w:rsidR="00166020" w:rsidRPr="00613F20" w:rsidRDefault="00166020" w:rsidP="00166020">
      <w:pPr>
        <w:keepLines/>
        <w:widowControl w:val="0"/>
        <w:autoSpaceDE w:val="0"/>
        <w:autoSpaceDN w:val="0"/>
        <w:adjustRightInd w:val="0"/>
        <w:spacing w:after="0" w:line="240" w:lineRule="atLeast"/>
        <w:jc w:val="both"/>
        <w:rPr>
          <w:rFonts w:ascii="Amasis MT Pro" w:eastAsia="Times New Roman" w:hAnsi="Amasis MT Pro" w:cs="Arial"/>
          <w:b/>
          <w:bCs/>
          <w:sz w:val="24"/>
          <w:szCs w:val="24"/>
        </w:rPr>
      </w:pPr>
      <w:r w:rsidRPr="00613F20">
        <w:rPr>
          <w:rFonts w:ascii="Amasis MT Pro" w:eastAsia="Times New Roman" w:hAnsi="Amasis MT Pro" w:cs="Arial"/>
          <w:b/>
          <w:bCs/>
          <w:sz w:val="24"/>
          <w:szCs w:val="24"/>
        </w:rPr>
        <w:t xml:space="preserve">How to determine the relationship of </w:t>
      </w:r>
      <w:r w:rsidRPr="00613F20">
        <w:rPr>
          <w:rFonts w:ascii="Amasis MT Pro" w:hAnsi="Amasis MT Pro" w:cs="Arial"/>
          <w:b/>
          <w:bCs/>
          <w:sz w:val="24"/>
          <w:szCs w:val="24"/>
        </w:rPr>
        <w:t>parent-subsidiary companies</w:t>
      </w:r>
    </w:p>
    <w:p w14:paraId="55110DD7" w14:textId="77777777" w:rsidR="00166020" w:rsidRPr="00613F20" w:rsidRDefault="00166020" w:rsidP="00166020">
      <w:pPr>
        <w:keepLines/>
        <w:widowControl w:val="0"/>
        <w:autoSpaceDE w:val="0"/>
        <w:autoSpaceDN w:val="0"/>
        <w:adjustRightInd w:val="0"/>
        <w:spacing w:after="0" w:line="240" w:lineRule="atLeast"/>
        <w:ind w:firstLine="720"/>
        <w:jc w:val="both"/>
        <w:rPr>
          <w:rFonts w:ascii="Amasis MT Pro" w:eastAsia="Times New Roman" w:hAnsi="Amasis MT Pro" w:cs="Arial"/>
          <w:sz w:val="24"/>
          <w:szCs w:val="24"/>
        </w:rPr>
      </w:pPr>
    </w:p>
    <w:p w14:paraId="0A4CE672" w14:textId="32A20FF0" w:rsidR="00166020" w:rsidRPr="00613F20" w:rsidRDefault="00166020" w:rsidP="00C10D75">
      <w:pPr>
        <w:keepLines/>
        <w:widowControl w:val="0"/>
        <w:autoSpaceDE w:val="0"/>
        <w:autoSpaceDN w:val="0"/>
        <w:adjustRightInd w:val="0"/>
        <w:spacing w:after="0" w:line="240" w:lineRule="atLeast"/>
        <w:jc w:val="both"/>
        <w:rPr>
          <w:rFonts w:ascii="Amasis MT Pro" w:eastAsia="Times New Roman" w:hAnsi="Amasis MT Pro" w:cs="Arial"/>
          <w:sz w:val="24"/>
          <w:szCs w:val="24"/>
        </w:rPr>
      </w:pPr>
      <w:r w:rsidRPr="00613F20">
        <w:rPr>
          <w:rFonts w:ascii="Amasis MT Pro" w:eastAsia="Times New Roman" w:hAnsi="Amasis MT Pro" w:cs="Arial"/>
          <w:sz w:val="24"/>
          <w:szCs w:val="24"/>
        </w:rPr>
        <w:t xml:space="preserve">According to the current provisions of the Law on Enterprises </w:t>
      </w:r>
      <w:r w:rsidR="001A526D" w:rsidRPr="00640FDB">
        <w:rPr>
          <w:rFonts w:ascii="Amasis MT Pro" w:eastAsia="Times New Roman" w:hAnsi="Amasis MT Pro" w:cs="Arial"/>
          <w:sz w:val="24"/>
          <w:szCs w:val="24"/>
        </w:rPr>
        <w:t>59/2020/QH14</w:t>
      </w:r>
      <w:r w:rsidR="001A526D" w:rsidRPr="00640FDB" w:rsidDel="00F51BCE">
        <w:rPr>
          <w:rFonts w:ascii="Amasis MT Pro" w:eastAsia="Times New Roman" w:hAnsi="Amasis MT Pro" w:cs="Arial"/>
          <w:sz w:val="24"/>
          <w:szCs w:val="24"/>
        </w:rPr>
        <w:t xml:space="preserve"> </w:t>
      </w:r>
      <w:r w:rsidRPr="00613F20">
        <w:rPr>
          <w:rFonts w:ascii="Amasis MT Pro" w:eastAsia="Times New Roman" w:hAnsi="Amasis MT Pro" w:cs="Arial"/>
          <w:sz w:val="24"/>
          <w:szCs w:val="24"/>
        </w:rPr>
        <w:t>(“</w:t>
      </w:r>
      <w:r w:rsidRPr="00613F20">
        <w:rPr>
          <w:rFonts w:ascii="Amasis MT Pro" w:eastAsia="Times New Roman" w:hAnsi="Amasis MT Pro" w:cs="Arial"/>
          <w:b/>
          <w:bCs/>
          <w:sz w:val="24"/>
          <w:szCs w:val="24"/>
        </w:rPr>
        <w:t>Law on Enterprises 20</w:t>
      </w:r>
      <w:r w:rsidR="00C10D75" w:rsidRPr="00613F20">
        <w:rPr>
          <w:rFonts w:ascii="Amasis MT Pro" w:eastAsia="Times New Roman" w:hAnsi="Amasis MT Pro" w:cs="Arial"/>
          <w:b/>
          <w:bCs/>
          <w:sz w:val="24"/>
          <w:szCs w:val="24"/>
        </w:rPr>
        <w:t>20</w:t>
      </w:r>
      <w:r w:rsidRPr="00613F20">
        <w:rPr>
          <w:rFonts w:ascii="Amasis MT Pro" w:eastAsia="Times New Roman" w:hAnsi="Amasis MT Pro" w:cs="Arial"/>
          <w:sz w:val="24"/>
          <w:szCs w:val="24"/>
        </w:rPr>
        <w:t>”),</w:t>
      </w:r>
      <w:r w:rsidRPr="00613F20">
        <w:rPr>
          <w:rStyle w:val="FootnoteReference"/>
          <w:rFonts w:ascii="Amasis MT Pro" w:eastAsia="Times New Roman" w:hAnsi="Amasis MT Pro" w:cs="Arial"/>
          <w:sz w:val="24"/>
          <w:szCs w:val="24"/>
        </w:rPr>
        <w:footnoteReference w:id="1"/>
      </w:r>
      <w:r w:rsidRPr="00613F20">
        <w:rPr>
          <w:rFonts w:ascii="Amasis MT Pro" w:eastAsia="Times New Roman" w:hAnsi="Amasis MT Pro" w:cs="Arial"/>
          <w:sz w:val="24"/>
          <w:szCs w:val="24"/>
        </w:rPr>
        <w:t xml:space="preserve"> a company is considered as the parent company of another company if it falls into </w:t>
      </w:r>
      <w:r w:rsidRPr="00613F20">
        <w:rPr>
          <w:rFonts w:ascii="Amasis MT Pro" w:eastAsia="Times New Roman" w:hAnsi="Amasis MT Pro" w:cs="Arial"/>
          <w:b/>
          <w:bCs/>
          <w:sz w:val="24"/>
          <w:szCs w:val="24"/>
          <w:u w:val="single"/>
        </w:rPr>
        <w:t>one of the following cases</w:t>
      </w:r>
      <w:r w:rsidRPr="00613F20">
        <w:rPr>
          <w:rFonts w:ascii="Amasis MT Pro" w:eastAsia="Times New Roman" w:hAnsi="Amasis MT Pro" w:cs="Arial"/>
          <w:sz w:val="24"/>
          <w:szCs w:val="24"/>
        </w:rPr>
        <w:t>:</w:t>
      </w:r>
    </w:p>
    <w:p w14:paraId="43316820" w14:textId="77777777" w:rsidR="00166020" w:rsidRPr="00613F20" w:rsidRDefault="00166020" w:rsidP="00166020">
      <w:pPr>
        <w:keepLines/>
        <w:widowControl w:val="0"/>
        <w:autoSpaceDE w:val="0"/>
        <w:autoSpaceDN w:val="0"/>
        <w:adjustRightInd w:val="0"/>
        <w:spacing w:after="0" w:line="240" w:lineRule="atLeast"/>
        <w:ind w:left="1418"/>
        <w:jc w:val="both"/>
        <w:rPr>
          <w:rFonts w:ascii="Amasis MT Pro" w:eastAsia="Times New Roman" w:hAnsi="Amasis MT Pro" w:cs="Arial"/>
          <w:sz w:val="24"/>
          <w:szCs w:val="24"/>
        </w:rPr>
      </w:pPr>
    </w:p>
    <w:p w14:paraId="59745CC1" w14:textId="77777777" w:rsidR="00166020" w:rsidRPr="00613F20" w:rsidRDefault="00166020" w:rsidP="00C10D75">
      <w:pPr>
        <w:keepLines/>
        <w:widowControl w:val="0"/>
        <w:numPr>
          <w:ilvl w:val="0"/>
          <w:numId w:val="5"/>
        </w:numPr>
        <w:spacing w:after="0" w:line="240" w:lineRule="atLeast"/>
        <w:ind w:hanging="720"/>
        <w:jc w:val="both"/>
        <w:rPr>
          <w:rFonts w:ascii="Amasis MT Pro" w:eastAsia="Times New Roman" w:hAnsi="Amasis MT Pro" w:cs="Arial"/>
          <w:sz w:val="24"/>
          <w:szCs w:val="24"/>
        </w:rPr>
      </w:pPr>
      <w:r w:rsidRPr="00613F20">
        <w:rPr>
          <w:rFonts w:ascii="Amasis MT Pro" w:eastAsia="Times New Roman" w:hAnsi="Amasis MT Pro" w:cs="Arial"/>
          <w:sz w:val="24"/>
          <w:szCs w:val="24"/>
        </w:rPr>
        <w:t>It owns more than fifty (50) per cent of the charter capital or the total number of ordinary shares of such [another] company;</w:t>
      </w:r>
    </w:p>
    <w:p w14:paraId="60173CBE" w14:textId="77777777" w:rsidR="00166020" w:rsidRPr="00613F20" w:rsidRDefault="00166020" w:rsidP="00C10D75">
      <w:pPr>
        <w:keepLines/>
        <w:widowControl w:val="0"/>
        <w:autoSpaceDE w:val="0"/>
        <w:autoSpaceDN w:val="0"/>
        <w:adjustRightInd w:val="0"/>
        <w:spacing w:after="0" w:line="240" w:lineRule="atLeast"/>
        <w:ind w:hanging="720"/>
        <w:jc w:val="both"/>
        <w:rPr>
          <w:rFonts w:ascii="Amasis MT Pro" w:eastAsia="Times New Roman" w:hAnsi="Amasis MT Pro" w:cs="Arial"/>
          <w:sz w:val="24"/>
          <w:szCs w:val="24"/>
        </w:rPr>
      </w:pPr>
    </w:p>
    <w:p w14:paraId="76821CB0" w14:textId="77777777" w:rsidR="00166020" w:rsidRPr="00613F20" w:rsidRDefault="00166020" w:rsidP="00C10D75">
      <w:pPr>
        <w:keepLines/>
        <w:widowControl w:val="0"/>
        <w:numPr>
          <w:ilvl w:val="0"/>
          <w:numId w:val="5"/>
        </w:numPr>
        <w:spacing w:after="0" w:line="240" w:lineRule="atLeast"/>
        <w:ind w:hanging="720"/>
        <w:jc w:val="both"/>
        <w:rPr>
          <w:rFonts w:ascii="Amasis MT Pro" w:eastAsia="Times New Roman" w:hAnsi="Amasis MT Pro" w:cs="Arial"/>
          <w:sz w:val="24"/>
          <w:szCs w:val="24"/>
        </w:rPr>
      </w:pPr>
      <w:r w:rsidRPr="00613F20">
        <w:rPr>
          <w:rFonts w:ascii="Amasis MT Pro" w:eastAsia="Times New Roman" w:hAnsi="Amasis MT Pro" w:cs="Arial"/>
          <w:sz w:val="24"/>
          <w:szCs w:val="24"/>
        </w:rPr>
        <w:t xml:space="preserve">It has the right to directly or indirectly make decisions on appointment of the majority or all members of the Board of Management, the director or general director of such [another] company; </w:t>
      </w:r>
    </w:p>
    <w:p w14:paraId="789379B4" w14:textId="77777777" w:rsidR="00166020" w:rsidRPr="00613F20" w:rsidRDefault="00166020" w:rsidP="00C10D75">
      <w:pPr>
        <w:keepLines/>
        <w:widowControl w:val="0"/>
        <w:spacing w:after="0" w:line="240" w:lineRule="atLeast"/>
        <w:ind w:left="720" w:hanging="720"/>
        <w:jc w:val="both"/>
        <w:rPr>
          <w:rFonts w:ascii="Amasis MT Pro" w:eastAsia="Times New Roman" w:hAnsi="Amasis MT Pro" w:cs="Arial"/>
          <w:sz w:val="24"/>
          <w:szCs w:val="24"/>
        </w:rPr>
      </w:pPr>
    </w:p>
    <w:p w14:paraId="4CB0F2A3" w14:textId="77777777" w:rsidR="00166020" w:rsidRPr="00613F20" w:rsidRDefault="00166020" w:rsidP="00C10D75">
      <w:pPr>
        <w:keepLines/>
        <w:widowControl w:val="0"/>
        <w:numPr>
          <w:ilvl w:val="0"/>
          <w:numId w:val="5"/>
        </w:numPr>
        <w:spacing w:after="0" w:line="240" w:lineRule="atLeast"/>
        <w:ind w:hanging="720"/>
        <w:jc w:val="both"/>
        <w:rPr>
          <w:rFonts w:ascii="Amasis MT Pro" w:eastAsia="Times New Roman" w:hAnsi="Amasis MT Pro" w:cs="Arial"/>
          <w:sz w:val="24"/>
          <w:szCs w:val="24"/>
        </w:rPr>
      </w:pPr>
      <w:r w:rsidRPr="00613F20">
        <w:rPr>
          <w:rFonts w:ascii="Amasis MT Pro" w:eastAsia="Times New Roman" w:hAnsi="Amasis MT Pro" w:cs="Arial"/>
          <w:sz w:val="24"/>
          <w:szCs w:val="24"/>
        </w:rPr>
        <w:t>It has the right to make decisions on amendment of and addition to the charter of such [another] company.</w:t>
      </w:r>
    </w:p>
    <w:p w14:paraId="3B5947FC" w14:textId="77777777" w:rsidR="00166020" w:rsidRPr="00613F20" w:rsidRDefault="00166020" w:rsidP="00C10D75">
      <w:pPr>
        <w:spacing w:after="0"/>
        <w:ind w:left="720" w:hanging="720"/>
        <w:rPr>
          <w:rFonts w:ascii="Amasis MT Pro" w:hAnsi="Amasis MT Pro" w:cs="Arial"/>
          <w:b/>
          <w:bCs/>
          <w:sz w:val="24"/>
          <w:szCs w:val="24"/>
        </w:rPr>
      </w:pPr>
    </w:p>
    <w:p w14:paraId="6B2B502F" w14:textId="77777777" w:rsidR="00166020" w:rsidRPr="00613F20" w:rsidRDefault="00166020" w:rsidP="00166020">
      <w:pPr>
        <w:tabs>
          <w:tab w:val="left" w:pos="720"/>
        </w:tabs>
        <w:spacing w:after="0"/>
        <w:jc w:val="both"/>
        <w:rPr>
          <w:rFonts w:ascii="Amasis MT Pro" w:hAnsi="Amasis MT Pro" w:cs="Arial"/>
          <w:b/>
          <w:bCs/>
          <w:sz w:val="24"/>
          <w:szCs w:val="24"/>
        </w:rPr>
      </w:pPr>
      <w:r w:rsidRPr="00613F20">
        <w:rPr>
          <w:rFonts w:ascii="Amasis MT Pro" w:hAnsi="Amasis MT Pro" w:cs="Arial"/>
          <w:b/>
          <w:bCs/>
          <w:sz w:val="24"/>
          <w:szCs w:val="24"/>
        </w:rPr>
        <w:t xml:space="preserve">Cross ownership concept and requirements of the law of Vietnam </w:t>
      </w:r>
    </w:p>
    <w:p w14:paraId="77AFF968" w14:textId="77777777" w:rsidR="00166020" w:rsidRPr="00613F20" w:rsidRDefault="00166020" w:rsidP="00166020">
      <w:pPr>
        <w:tabs>
          <w:tab w:val="left" w:pos="720"/>
        </w:tabs>
        <w:spacing w:after="0"/>
        <w:ind w:firstLine="720"/>
        <w:jc w:val="both"/>
        <w:rPr>
          <w:rFonts w:ascii="Amasis MT Pro" w:hAnsi="Amasis MT Pro" w:cs="Arial"/>
          <w:sz w:val="24"/>
          <w:szCs w:val="24"/>
        </w:rPr>
      </w:pPr>
    </w:p>
    <w:p w14:paraId="34FFFEFF" w14:textId="6E65804C" w:rsidR="00166020" w:rsidRPr="005E7CCB" w:rsidRDefault="00166020" w:rsidP="00C10D75">
      <w:pPr>
        <w:tabs>
          <w:tab w:val="left" w:pos="720"/>
        </w:tabs>
        <w:spacing w:after="0"/>
        <w:jc w:val="both"/>
        <w:rPr>
          <w:rFonts w:ascii="Cambria" w:hAnsi="Cambria" w:cs="Arial"/>
          <w:sz w:val="24"/>
          <w:szCs w:val="24"/>
        </w:rPr>
      </w:pPr>
      <w:r w:rsidRPr="00613F20">
        <w:rPr>
          <w:rFonts w:ascii="Amasis MT Pro" w:hAnsi="Amasis MT Pro" w:cs="Arial"/>
          <w:sz w:val="24"/>
          <w:szCs w:val="24"/>
        </w:rPr>
        <w:t>The concept of cross ownership between two enterprises is specified in Decree No. 96/2015/ND-CP guiding the implementation of the Law on Enterprises 2014,</w:t>
      </w:r>
      <w:r w:rsidRPr="00613F20">
        <w:rPr>
          <w:rStyle w:val="FootnoteReference"/>
          <w:rFonts w:ascii="Amasis MT Pro" w:hAnsi="Amasis MT Pro" w:cs="Arial"/>
          <w:sz w:val="24"/>
          <w:szCs w:val="24"/>
        </w:rPr>
        <w:footnoteReference w:id="2"/>
      </w:r>
      <w:r w:rsidRPr="00613F20">
        <w:rPr>
          <w:rFonts w:ascii="Amasis MT Pro" w:hAnsi="Amasis MT Pro" w:cs="Arial"/>
          <w:sz w:val="24"/>
          <w:szCs w:val="24"/>
        </w:rPr>
        <w:t xml:space="preserve"> namely: “Cross ownership is the simultaneous situation of two enterprises owning each other’s contributed capital or shares.”</w:t>
      </w:r>
      <w:r w:rsidR="005E7CCB">
        <w:rPr>
          <w:rFonts w:ascii="Amasis MT Pro" w:hAnsi="Amasis MT Pro" w:cs="Arial"/>
          <w:sz w:val="24"/>
          <w:szCs w:val="24"/>
        </w:rPr>
        <w:t xml:space="preserve"> H</w:t>
      </w:r>
      <w:r w:rsidR="005E7CCB">
        <w:rPr>
          <w:rFonts w:ascii="Cambria" w:hAnsi="Cambria" w:cs="Arial"/>
          <w:sz w:val="24"/>
          <w:szCs w:val="24"/>
        </w:rPr>
        <w:t xml:space="preserve">owever, </w:t>
      </w:r>
      <w:r w:rsidR="00643260" w:rsidRPr="00613F20">
        <w:rPr>
          <w:rFonts w:ascii="Amasis MT Pro" w:hAnsi="Amasis MT Pro" w:cs="Arial"/>
          <w:sz w:val="24"/>
          <w:szCs w:val="24"/>
        </w:rPr>
        <w:t xml:space="preserve">Decree No. </w:t>
      </w:r>
      <w:r w:rsidR="00643260">
        <w:rPr>
          <w:rFonts w:ascii="Amasis MT Pro" w:hAnsi="Amasis MT Pro" w:cs="Arial"/>
          <w:sz w:val="24"/>
          <w:szCs w:val="24"/>
        </w:rPr>
        <w:t>47</w:t>
      </w:r>
      <w:r w:rsidR="00643260" w:rsidRPr="00613F20">
        <w:rPr>
          <w:rFonts w:ascii="Amasis MT Pro" w:hAnsi="Amasis MT Pro" w:cs="Arial"/>
          <w:sz w:val="24"/>
          <w:szCs w:val="24"/>
        </w:rPr>
        <w:t>/20</w:t>
      </w:r>
      <w:r w:rsidR="00C4008A">
        <w:rPr>
          <w:rFonts w:ascii="Amasis MT Pro" w:hAnsi="Amasis MT Pro" w:cs="Arial"/>
          <w:sz w:val="24"/>
          <w:szCs w:val="24"/>
        </w:rPr>
        <w:t>21</w:t>
      </w:r>
      <w:r w:rsidR="00643260" w:rsidRPr="00613F20">
        <w:rPr>
          <w:rFonts w:ascii="Amasis MT Pro" w:hAnsi="Amasis MT Pro" w:cs="Arial"/>
          <w:sz w:val="24"/>
          <w:szCs w:val="24"/>
        </w:rPr>
        <w:t>/ND-CP guiding the implementation of the Law on Enterprises 20</w:t>
      </w:r>
      <w:r w:rsidR="00C4008A">
        <w:rPr>
          <w:rFonts w:ascii="Amasis MT Pro" w:hAnsi="Amasis MT Pro" w:cs="Arial"/>
          <w:sz w:val="24"/>
          <w:szCs w:val="24"/>
        </w:rPr>
        <w:t xml:space="preserve">20 </w:t>
      </w:r>
      <w:r w:rsidR="006C4D4D" w:rsidRPr="006C4D4D">
        <w:rPr>
          <w:rFonts w:ascii="Amasis MT Pro" w:hAnsi="Amasis MT Pro" w:cs="Arial"/>
          <w:sz w:val="24"/>
          <w:szCs w:val="24"/>
        </w:rPr>
        <w:t>from April 1, 2021, has omitted this concept.</w:t>
      </w:r>
    </w:p>
    <w:p w14:paraId="5BE64BFC" w14:textId="77777777" w:rsidR="00166020" w:rsidRPr="00613F20" w:rsidRDefault="00166020" w:rsidP="00166020">
      <w:pPr>
        <w:tabs>
          <w:tab w:val="left" w:pos="720"/>
        </w:tabs>
        <w:spacing w:after="0"/>
        <w:ind w:firstLine="720"/>
        <w:jc w:val="both"/>
        <w:rPr>
          <w:rFonts w:ascii="Amasis MT Pro" w:hAnsi="Amasis MT Pro" w:cs="Arial"/>
          <w:sz w:val="24"/>
          <w:szCs w:val="24"/>
        </w:rPr>
      </w:pPr>
    </w:p>
    <w:p w14:paraId="2CFDEA19" w14:textId="59F42745" w:rsidR="00166020" w:rsidRPr="00613F20" w:rsidRDefault="00166020" w:rsidP="00C10D75">
      <w:pPr>
        <w:tabs>
          <w:tab w:val="left" w:pos="720"/>
        </w:tabs>
        <w:spacing w:after="0"/>
        <w:jc w:val="both"/>
        <w:rPr>
          <w:rFonts w:ascii="Amasis MT Pro" w:hAnsi="Amasis MT Pro" w:cs="Arial"/>
          <w:sz w:val="24"/>
          <w:szCs w:val="24"/>
        </w:rPr>
      </w:pPr>
      <w:r w:rsidRPr="00613F20">
        <w:rPr>
          <w:rFonts w:ascii="Amasis MT Pro" w:hAnsi="Amasis MT Pro" w:cs="Arial"/>
          <w:sz w:val="24"/>
          <w:szCs w:val="24"/>
        </w:rPr>
        <w:t>It is worth noting that the Law on Enterprises 20</w:t>
      </w:r>
      <w:r w:rsidR="006C4D4D">
        <w:rPr>
          <w:rFonts w:ascii="Amasis MT Pro" w:hAnsi="Amasis MT Pro" w:cs="Arial"/>
          <w:sz w:val="24"/>
          <w:szCs w:val="24"/>
        </w:rPr>
        <w:t>20</w:t>
      </w:r>
      <w:r w:rsidRPr="00613F20">
        <w:rPr>
          <w:rStyle w:val="FootnoteReference"/>
          <w:rFonts w:ascii="Amasis MT Pro" w:hAnsi="Amasis MT Pro" w:cs="Arial"/>
          <w:sz w:val="24"/>
          <w:szCs w:val="24"/>
        </w:rPr>
        <w:footnoteReference w:id="3"/>
      </w:r>
      <w:r w:rsidRPr="00613F20">
        <w:rPr>
          <w:rFonts w:ascii="Amasis MT Pro" w:hAnsi="Amasis MT Pro" w:cs="Arial"/>
          <w:sz w:val="24"/>
          <w:szCs w:val="24"/>
        </w:rPr>
        <w:t xml:space="preserve"> requires that: “</w:t>
      </w:r>
      <w:r w:rsidRPr="00613F20">
        <w:rPr>
          <w:rFonts w:ascii="Amasis MT Pro" w:hAnsi="Amasis MT Pro" w:cs="Arial"/>
          <w:i/>
          <w:iCs/>
          <w:sz w:val="24"/>
          <w:szCs w:val="24"/>
        </w:rPr>
        <w:t>Subsidiary companies are not permitted to invest in contribution of capital to or purchase of shares of the parent company. Subsidiary companies of the same parent company are not permitted to jointly contribute capital or purchase shares in order to have mutual cross ownership</w:t>
      </w:r>
      <w:r w:rsidRPr="00613F20">
        <w:rPr>
          <w:rFonts w:ascii="Amasis MT Pro" w:hAnsi="Amasis MT Pro" w:cs="Arial"/>
          <w:sz w:val="24"/>
          <w:szCs w:val="24"/>
        </w:rPr>
        <w:t>.”</w:t>
      </w:r>
    </w:p>
    <w:p w14:paraId="240A9BF9" w14:textId="77777777" w:rsidR="00166020" w:rsidRPr="00613F20" w:rsidRDefault="00166020" w:rsidP="00166020">
      <w:pPr>
        <w:spacing w:after="0"/>
        <w:ind w:left="720" w:hanging="360"/>
        <w:rPr>
          <w:rFonts w:ascii="Amasis MT Pro" w:hAnsi="Amasis MT Pro" w:cs="Arial"/>
          <w:b/>
          <w:bCs/>
          <w:sz w:val="24"/>
          <w:szCs w:val="24"/>
        </w:rPr>
      </w:pPr>
    </w:p>
    <w:p w14:paraId="460E5F98" w14:textId="3F7B3670" w:rsidR="00166020" w:rsidRPr="00613F20" w:rsidRDefault="00166020" w:rsidP="00166020">
      <w:pPr>
        <w:spacing w:after="0"/>
        <w:jc w:val="both"/>
        <w:rPr>
          <w:rFonts w:ascii="Amasis MT Pro" w:hAnsi="Amasis MT Pro" w:cs="Arial"/>
          <w:b/>
          <w:bCs/>
          <w:sz w:val="24"/>
          <w:szCs w:val="24"/>
        </w:rPr>
      </w:pPr>
      <w:r w:rsidRPr="00613F20">
        <w:rPr>
          <w:rFonts w:ascii="Amasis MT Pro" w:hAnsi="Amasis MT Pro" w:cs="Arial"/>
          <w:b/>
          <w:bCs/>
          <w:sz w:val="24"/>
          <w:szCs w:val="24"/>
        </w:rPr>
        <w:lastRenderedPageBreak/>
        <w:t>Penalties for the occurrence of cross ownership between the parent company and its subsidiaries</w:t>
      </w:r>
      <w:r w:rsidRPr="00613F20">
        <w:rPr>
          <w:rStyle w:val="FootnoteReference"/>
          <w:rFonts w:ascii="Amasis MT Pro" w:hAnsi="Amasis MT Pro" w:cs="Arial"/>
          <w:b/>
          <w:bCs/>
          <w:sz w:val="24"/>
          <w:szCs w:val="24"/>
        </w:rPr>
        <w:footnoteReference w:id="4"/>
      </w:r>
    </w:p>
    <w:p w14:paraId="307636A4" w14:textId="77777777" w:rsidR="00166020" w:rsidRPr="00613F20" w:rsidRDefault="00166020" w:rsidP="00166020">
      <w:pPr>
        <w:spacing w:after="0"/>
        <w:jc w:val="both"/>
        <w:rPr>
          <w:rFonts w:ascii="Amasis MT Pro" w:hAnsi="Amasis MT Pro" w:cs="Arial"/>
          <w:bCs/>
          <w:sz w:val="24"/>
          <w:szCs w:val="24"/>
        </w:rPr>
      </w:pPr>
    </w:p>
    <w:p w14:paraId="421B050C" w14:textId="74E43FC6" w:rsidR="00166020" w:rsidRPr="00613F20" w:rsidRDefault="00166020" w:rsidP="00166020">
      <w:pPr>
        <w:spacing w:after="0"/>
        <w:jc w:val="both"/>
        <w:rPr>
          <w:rFonts w:ascii="Amasis MT Pro" w:hAnsi="Amasis MT Pro" w:cs="Arial"/>
          <w:bCs/>
          <w:sz w:val="24"/>
          <w:szCs w:val="24"/>
        </w:rPr>
      </w:pPr>
      <w:r w:rsidRPr="00613F20">
        <w:rPr>
          <w:rFonts w:ascii="Amasis MT Pro" w:hAnsi="Amasis MT Pro" w:cs="Arial"/>
          <w:bCs/>
          <w:sz w:val="24"/>
          <w:szCs w:val="24"/>
        </w:rPr>
        <w:t>In the case of (i) a subsidiary investing, contributing capital, or buying shares of the parent company; and/or (ii) subsidiaries of the same parent company contribute capital or buy shares to cross-own each other, these companies may be subject to administrative penalties of up to VND 20 million and be forced to remedy by divestment or withdrawal of shares from the parent company or other subsidiaries.</w:t>
      </w:r>
      <w:r w:rsidRPr="00613F20">
        <w:rPr>
          <w:rFonts w:ascii="Amasis MT Pro" w:hAnsi="Amasis MT Pro" w:cs="Arial"/>
          <w:bCs/>
          <w:i/>
          <w:iCs/>
          <w:sz w:val="24"/>
          <w:szCs w:val="24"/>
        </w:rPr>
        <w:t xml:space="preserve"> </w:t>
      </w:r>
    </w:p>
    <w:p w14:paraId="219D848A" w14:textId="77777777" w:rsidR="00166020" w:rsidRPr="00613F20" w:rsidRDefault="00166020" w:rsidP="00166020">
      <w:pPr>
        <w:spacing w:after="0"/>
        <w:jc w:val="both"/>
        <w:rPr>
          <w:rFonts w:ascii="Amasis MT Pro" w:hAnsi="Amasis MT Pro" w:cs="Arial"/>
          <w:bCs/>
          <w:sz w:val="24"/>
          <w:szCs w:val="24"/>
        </w:rPr>
      </w:pPr>
    </w:p>
    <w:p w14:paraId="32F25A2E" w14:textId="736F8E01" w:rsidR="00166020" w:rsidRPr="00613F20" w:rsidRDefault="00166020" w:rsidP="00166020">
      <w:pPr>
        <w:spacing w:after="0"/>
        <w:jc w:val="both"/>
        <w:rPr>
          <w:rFonts w:ascii="Amasis MT Pro" w:hAnsi="Amasis MT Pro" w:cs="Arial"/>
          <w:bCs/>
          <w:sz w:val="24"/>
          <w:szCs w:val="24"/>
        </w:rPr>
      </w:pPr>
      <w:r w:rsidRPr="00613F20">
        <w:rPr>
          <w:rFonts w:ascii="Amasis MT Pro" w:hAnsi="Amasis MT Pro" w:cs="Arial"/>
          <w:bCs/>
          <w:sz w:val="24"/>
          <w:szCs w:val="24"/>
        </w:rPr>
        <w:t xml:space="preserve">In case subsidiaries of the same parent company having at least 65% state capital contributed capital to establish a company, these companies may be subject to administrative sanctions of up to VND 20 million and be forced to remedy by divestment from established companies. </w:t>
      </w:r>
    </w:p>
    <w:p w14:paraId="167A6B75" w14:textId="77777777" w:rsidR="00166020" w:rsidRPr="00613F20" w:rsidRDefault="00166020" w:rsidP="00166020">
      <w:pPr>
        <w:spacing w:after="0"/>
        <w:jc w:val="both"/>
        <w:rPr>
          <w:rFonts w:ascii="Amasis MT Pro" w:hAnsi="Amasis MT Pro" w:cs="Arial"/>
          <w:bCs/>
          <w:sz w:val="24"/>
          <w:szCs w:val="24"/>
        </w:rPr>
      </w:pPr>
    </w:p>
    <w:p w14:paraId="71792BB0" w14:textId="77777777" w:rsidR="00166020" w:rsidRPr="00613F20" w:rsidRDefault="00166020" w:rsidP="00166020">
      <w:pPr>
        <w:spacing w:after="0"/>
        <w:jc w:val="both"/>
        <w:rPr>
          <w:rFonts w:ascii="Amasis MT Pro" w:hAnsi="Amasis MT Pro" w:cs="Arial"/>
          <w:b/>
          <w:sz w:val="24"/>
          <w:szCs w:val="24"/>
        </w:rPr>
      </w:pPr>
      <w:r w:rsidRPr="00613F20">
        <w:rPr>
          <w:rFonts w:ascii="Amasis MT Pro" w:hAnsi="Amasis MT Pro" w:cs="Arial"/>
          <w:b/>
          <w:sz w:val="24"/>
          <w:szCs w:val="24"/>
        </w:rPr>
        <w:t>Options to eliminate cross ownership</w:t>
      </w:r>
    </w:p>
    <w:p w14:paraId="508DE404" w14:textId="77777777" w:rsidR="00166020" w:rsidRPr="00613F20" w:rsidRDefault="00166020" w:rsidP="00166020">
      <w:pPr>
        <w:spacing w:after="0"/>
        <w:jc w:val="both"/>
        <w:rPr>
          <w:rFonts w:ascii="Amasis MT Pro" w:hAnsi="Amasis MT Pro" w:cs="Arial"/>
          <w:bCs/>
          <w:sz w:val="24"/>
          <w:szCs w:val="24"/>
        </w:rPr>
      </w:pPr>
    </w:p>
    <w:p w14:paraId="6E7148A3" w14:textId="77777777" w:rsidR="00166020" w:rsidRPr="00613F20" w:rsidRDefault="00166020" w:rsidP="00C10D75">
      <w:pPr>
        <w:spacing w:after="0"/>
        <w:jc w:val="both"/>
        <w:rPr>
          <w:rFonts w:ascii="Amasis MT Pro" w:hAnsi="Amasis MT Pro" w:cs="Arial"/>
          <w:bCs/>
          <w:sz w:val="24"/>
          <w:szCs w:val="24"/>
        </w:rPr>
      </w:pPr>
      <w:r w:rsidRPr="00613F20">
        <w:rPr>
          <w:rFonts w:ascii="Amasis MT Pro" w:hAnsi="Amasis MT Pro" w:cs="Arial"/>
          <w:b/>
          <w:bCs/>
          <w:sz w:val="24"/>
          <w:szCs w:val="24"/>
        </w:rPr>
        <w:t>Option 1</w:t>
      </w:r>
      <w:r w:rsidRPr="00613F20">
        <w:rPr>
          <w:rFonts w:ascii="Amasis MT Pro" w:hAnsi="Amasis MT Pro" w:cs="Arial"/>
          <w:bCs/>
          <w:sz w:val="24"/>
          <w:szCs w:val="24"/>
        </w:rPr>
        <w:t>: The parent company will transfer its shares/capital contribution in the subsidiary to a third party (the “</w:t>
      </w:r>
      <w:r w:rsidRPr="00613F20">
        <w:rPr>
          <w:rFonts w:ascii="Amasis MT Pro" w:hAnsi="Amasis MT Pro" w:cs="Arial"/>
          <w:b/>
          <w:sz w:val="24"/>
          <w:szCs w:val="24"/>
        </w:rPr>
        <w:t>Buyer</w:t>
      </w:r>
      <w:r w:rsidRPr="00613F20">
        <w:rPr>
          <w:rFonts w:ascii="Amasis MT Pro" w:hAnsi="Amasis MT Pro" w:cs="Arial"/>
          <w:bCs/>
          <w:sz w:val="24"/>
          <w:szCs w:val="24"/>
        </w:rPr>
        <w:t xml:space="preserve">”), so that the parent company is no longer considered as the parent company of the subsidiary. In addition, this option is similar to the option for subsidiaries to restructure their charter capital so that the ownership ratio of the parent company will be diluted under the level that the parent company is considered to be the parent company of subsidiaries; or </w:t>
      </w:r>
    </w:p>
    <w:p w14:paraId="0AFC9798" w14:textId="77777777" w:rsidR="00166020" w:rsidRPr="00613F20" w:rsidRDefault="00166020" w:rsidP="00166020">
      <w:pPr>
        <w:spacing w:after="0"/>
        <w:jc w:val="both"/>
        <w:rPr>
          <w:rFonts w:ascii="Amasis MT Pro" w:hAnsi="Amasis MT Pro" w:cs="Arial"/>
          <w:bCs/>
          <w:sz w:val="24"/>
          <w:szCs w:val="24"/>
        </w:rPr>
      </w:pPr>
    </w:p>
    <w:p w14:paraId="175057CC" w14:textId="77777777" w:rsidR="00166020" w:rsidRPr="00613F20" w:rsidRDefault="00166020" w:rsidP="00C10D75">
      <w:pPr>
        <w:spacing w:after="0"/>
        <w:jc w:val="both"/>
        <w:rPr>
          <w:rFonts w:ascii="Amasis MT Pro" w:hAnsi="Amasis MT Pro" w:cs="Arial"/>
          <w:bCs/>
          <w:sz w:val="24"/>
          <w:szCs w:val="24"/>
        </w:rPr>
      </w:pPr>
      <w:r w:rsidRPr="00613F20">
        <w:rPr>
          <w:rFonts w:ascii="Amasis MT Pro" w:hAnsi="Amasis MT Pro" w:cs="Arial"/>
          <w:b/>
          <w:bCs/>
          <w:sz w:val="24"/>
          <w:szCs w:val="24"/>
        </w:rPr>
        <w:t xml:space="preserve">Option 2: </w:t>
      </w:r>
      <w:r w:rsidRPr="00613F20">
        <w:rPr>
          <w:rFonts w:ascii="Amasis MT Pro" w:hAnsi="Amasis MT Pro" w:cs="Arial"/>
          <w:sz w:val="24"/>
          <w:szCs w:val="24"/>
        </w:rPr>
        <w:t>The subsidiaries will transfer the shares issued by the parent company that these subsidiaries hold to the Buyer so that the subsidiaries will no longer own the shares of the parent company (the procedure is similar with the below procedures which the parent company should do</w:t>
      </w:r>
      <w:r w:rsidRPr="00613F20">
        <w:rPr>
          <w:rFonts w:ascii="Amasis MT Pro" w:hAnsi="Amasis MT Pro" w:cs="Arial"/>
          <w:bCs/>
          <w:sz w:val="24"/>
          <w:szCs w:val="24"/>
        </w:rPr>
        <w:t>).</w:t>
      </w:r>
    </w:p>
    <w:p w14:paraId="0044DBB8" w14:textId="77777777" w:rsidR="00166020" w:rsidRPr="00613F20" w:rsidRDefault="00166020" w:rsidP="00166020">
      <w:pPr>
        <w:spacing w:after="0"/>
        <w:jc w:val="both"/>
        <w:rPr>
          <w:rFonts w:ascii="Amasis MT Pro" w:hAnsi="Amasis MT Pro" w:cs="Arial"/>
          <w:bCs/>
          <w:sz w:val="24"/>
          <w:szCs w:val="24"/>
        </w:rPr>
      </w:pPr>
    </w:p>
    <w:p w14:paraId="6CADD491" w14:textId="77777777" w:rsidR="00166020" w:rsidRPr="00613F20" w:rsidRDefault="00166020" w:rsidP="00166020">
      <w:pPr>
        <w:spacing w:after="0"/>
        <w:jc w:val="both"/>
        <w:rPr>
          <w:rFonts w:ascii="Amasis MT Pro" w:hAnsi="Amasis MT Pro" w:cs="Arial"/>
          <w:b/>
          <w:bCs/>
          <w:sz w:val="24"/>
          <w:szCs w:val="24"/>
        </w:rPr>
      </w:pPr>
      <w:r w:rsidRPr="00613F20">
        <w:rPr>
          <w:rFonts w:ascii="Amasis MT Pro" w:hAnsi="Amasis MT Pro" w:cs="Arial"/>
          <w:b/>
          <w:bCs/>
          <w:sz w:val="24"/>
          <w:szCs w:val="24"/>
        </w:rPr>
        <w:t>The capital transfer process consists of three following steps:</w:t>
      </w:r>
    </w:p>
    <w:p w14:paraId="63C0BDC1" w14:textId="77777777" w:rsidR="00166020" w:rsidRPr="00613F20" w:rsidRDefault="00166020" w:rsidP="00166020">
      <w:pPr>
        <w:spacing w:after="0"/>
        <w:ind w:left="720"/>
        <w:jc w:val="both"/>
        <w:rPr>
          <w:rFonts w:ascii="Amasis MT Pro" w:hAnsi="Amasis MT Pro" w:cs="Arial"/>
          <w:bCs/>
          <w:sz w:val="24"/>
          <w:szCs w:val="24"/>
        </w:rPr>
      </w:pPr>
      <w:r w:rsidRPr="00613F20">
        <w:rPr>
          <w:rFonts w:ascii="Amasis MT Pro" w:hAnsi="Amasis MT Pro" w:cs="Arial"/>
          <w:bCs/>
          <w:sz w:val="24"/>
          <w:szCs w:val="24"/>
        </w:rPr>
        <w:tab/>
      </w:r>
    </w:p>
    <w:p w14:paraId="743C7FBC" w14:textId="77777777" w:rsidR="00166020" w:rsidRPr="00613F20" w:rsidRDefault="00166020" w:rsidP="00C10D75">
      <w:pPr>
        <w:numPr>
          <w:ilvl w:val="0"/>
          <w:numId w:val="2"/>
        </w:numPr>
        <w:spacing w:after="0"/>
        <w:ind w:left="720"/>
        <w:jc w:val="both"/>
        <w:rPr>
          <w:rFonts w:ascii="Amasis MT Pro" w:hAnsi="Amasis MT Pro" w:cs="Arial"/>
          <w:b/>
          <w:bCs/>
          <w:sz w:val="24"/>
          <w:szCs w:val="24"/>
        </w:rPr>
      </w:pPr>
      <w:r w:rsidRPr="00613F20">
        <w:rPr>
          <w:rFonts w:ascii="Amasis MT Pro" w:hAnsi="Amasis MT Pro" w:cs="Arial"/>
          <w:b/>
          <w:bCs/>
          <w:sz w:val="24"/>
          <w:szCs w:val="24"/>
          <w:u w:val="single"/>
        </w:rPr>
        <w:t>Step 1</w:t>
      </w:r>
      <w:r w:rsidRPr="00613F20">
        <w:rPr>
          <w:rFonts w:ascii="Amasis MT Pro" w:hAnsi="Amasis MT Pro" w:cs="Arial"/>
          <w:b/>
          <w:bCs/>
          <w:sz w:val="24"/>
          <w:szCs w:val="24"/>
        </w:rPr>
        <w:t xml:space="preserve">: Approving the transfer of capital contribution and disclosure of information </w:t>
      </w:r>
    </w:p>
    <w:p w14:paraId="4FFD3B58" w14:textId="77777777" w:rsidR="00166020" w:rsidRPr="00613F20" w:rsidRDefault="00166020" w:rsidP="00166020">
      <w:pPr>
        <w:spacing w:after="0"/>
        <w:ind w:left="720"/>
        <w:jc w:val="both"/>
        <w:rPr>
          <w:rFonts w:ascii="Amasis MT Pro" w:hAnsi="Amasis MT Pro" w:cs="Arial"/>
          <w:b/>
          <w:bCs/>
          <w:sz w:val="24"/>
          <w:szCs w:val="24"/>
        </w:rPr>
      </w:pPr>
    </w:p>
    <w:p w14:paraId="40DA761C" w14:textId="77777777" w:rsidR="00166020" w:rsidRPr="00613F20" w:rsidRDefault="00166020" w:rsidP="00C10D75">
      <w:pPr>
        <w:numPr>
          <w:ilvl w:val="0"/>
          <w:numId w:val="3"/>
        </w:numPr>
        <w:spacing w:after="0"/>
        <w:ind w:left="1440" w:hanging="720"/>
        <w:jc w:val="both"/>
        <w:rPr>
          <w:rFonts w:ascii="Amasis MT Pro" w:hAnsi="Amasis MT Pro" w:cs="Arial"/>
          <w:bCs/>
          <w:sz w:val="24"/>
          <w:szCs w:val="24"/>
        </w:rPr>
      </w:pPr>
      <w:r w:rsidRPr="00613F20">
        <w:rPr>
          <w:rFonts w:ascii="Amasis MT Pro" w:hAnsi="Amasis MT Pro" w:cs="Arial"/>
          <w:bCs/>
          <w:sz w:val="24"/>
          <w:szCs w:val="24"/>
        </w:rPr>
        <w:t>For the parent company</w:t>
      </w:r>
    </w:p>
    <w:p w14:paraId="17F1F388" w14:textId="77777777" w:rsidR="00166020" w:rsidRPr="00613F20" w:rsidRDefault="00166020" w:rsidP="00166020">
      <w:pPr>
        <w:spacing w:after="0"/>
        <w:ind w:left="720"/>
        <w:jc w:val="both"/>
        <w:rPr>
          <w:rFonts w:ascii="Amasis MT Pro" w:hAnsi="Amasis MT Pro" w:cs="Arial"/>
          <w:b/>
          <w:bCs/>
          <w:sz w:val="24"/>
          <w:szCs w:val="24"/>
          <w:u w:val="single"/>
        </w:rPr>
      </w:pPr>
    </w:p>
    <w:p w14:paraId="38185657" w14:textId="77777777" w:rsidR="00166020" w:rsidRPr="00613F20" w:rsidRDefault="00166020" w:rsidP="00C10D75">
      <w:pPr>
        <w:spacing w:after="0"/>
        <w:ind w:left="720"/>
        <w:jc w:val="both"/>
        <w:rPr>
          <w:rFonts w:ascii="Amasis MT Pro" w:hAnsi="Amasis MT Pro" w:cs="Arial"/>
          <w:bCs/>
          <w:sz w:val="24"/>
          <w:szCs w:val="24"/>
          <w:lang w:val="nl-NL"/>
        </w:rPr>
      </w:pPr>
      <w:r w:rsidRPr="00613F20">
        <w:rPr>
          <w:rFonts w:ascii="Amasis MT Pro" w:hAnsi="Amasis MT Pro" w:cs="Arial"/>
          <w:bCs/>
          <w:sz w:val="24"/>
          <w:szCs w:val="24"/>
        </w:rPr>
        <w:lastRenderedPageBreak/>
        <w:t xml:space="preserve">Accordingly, depending on the provisions of the Charter of the parent company and depending on the value of the capital transfer transaction in relation to the total value of assets according to the latest financial statements of the parent company, such proposed capital transfer transaction must be approved by the General Meeting of Shareholders or the Board of Management of the parent company. </w:t>
      </w:r>
    </w:p>
    <w:p w14:paraId="18B50859" w14:textId="77777777" w:rsidR="00166020" w:rsidRPr="00613F20" w:rsidRDefault="00166020" w:rsidP="00166020">
      <w:pPr>
        <w:spacing w:after="0"/>
        <w:ind w:left="720"/>
        <w:jc w:val="both"/>
        <w:rPr>
          <w:rFonts w:ascii="Amasis MT Pro" w:hAnsi="Amasis MT Pro" w:cs="Arial"/>
          <w:bCs/>
          <w:sz w:val="24"/>
          <w:szCs w:val="24"/>
          <w:lang w:val="nl-NL"/>
        </w:rPr>
      </w:pPr>
    </w:p>
    <w:p w14:paraId="740DEF68" w14:textId="77777777" w:rsidR="00166020" w:rsidRPr="00613F20" w:rsidRDefault="00166020" w:rsidP="00CE1FB4">
      <w:pPr>
        <w:numPr>
          <w:ilvl w:val="0"/>
          <w:numId w:val="3"/>
        </w:numPr>
        <w:spacing w:after="0"/>
        <w:ind w:left="1440" w:hanging="720"/>
        <w:jc w:val="both"/>
        <w:rPr>
          <w:rFonts w:ascii="Amasis MT Pro" w:hAnsi="Amasis MT Pro" w:cs="Arial"/>
          <w:sz w:val="24"/>
          <w:szCs w:val="24"/>
        </w:rPr>
      </w:pPr>
      <w:r w:rsidRPr="00613F20">
        <w:rPr>
          <w:rFonts w:ascii="Amasis MT Pro" w:hAnsi="Amasis MT Pro" w:cs="Arial"/>
          <w:sz w:val="24"/>
          <w:szCs w:val="24"/>
        </w:rPr>
        <w:t>For the Buyer</w:t>
      </w:r>
    </w:p>
    <w:p w14:paraId="55A66802" w14:textId="77777777" w:rsidR="00166020" w:rsidRPr="00613F20" w:rsidRDefault="00166020" w:rsidP="00166020">
      <w:pPr>
        <w:spacing w:after="0"/>
        <w:ind w:left="720"/>
        <w:jc w:val="both"/>
        <w:rPr>
          <w:rFonts w:ascii="Amasis MT Pro" w:hAnsi="Amasis MT Pro" w:cs="Arial"/>
          <w:b/>
          <w:bCs/>
          <w:sz w:val="24"/>
          <w:szCs w:val="24"/>
          <w:u w:val="single"/>
        </w:rPr>
      </w:pPr>
    </w:p>
    <w:p w14:paraId="6BF0FF0C" w14:textId="77777777" w:rsidR="00166020" w:rsidRPr="00613F20" w:rsidRDefault="00166020" w:rsidP="00CE1FB4">
      <w:pPr>
        <w:spacing w:after="0"/>
        <w:ind w:left="720"/>
        <w:jc w:val="both"/>
        <w:rPr>
          <w:rFonts w:ascii="Amasis MT Pro" w:hAnsi="Amasis MT Pro" w:cs="Arial"/>
          <w:bCs/>
          <w:sz w:val="24"/>
          <w:szCs w:val="24"/>
        </w:rPr>
      </w:pPr>
      <w:r w:rsidRPr="00613F20">
        <w:rPr>
          <w:rFonts w:ascii="Amasis MT Pro" w:hAnsi="Amasis MT Pro" w:cs="Arial"/>
          <w:bCs/>
          <w:sz w:val="24"/>
          <w:szCs w:val="24"/>
        </w:rPr>
        <w:t>If the Buyer is an enterprise, depending on the type of business, the Buyer’s charter and the value of capital transfer transaction in relation to the Buyer’s total asset value in the latest financial statement, there must be a resolution of the General Meeting of Shareholders or the Board of Management or Members’ Council or a decision of the Chairman of the company to approve the transfer of contributed capital in the subsidiary company from the parent company.</w:t>
      </w:r>
    </w:p>
    <w:p w14:paraId="177565E6" w14:textId="77777777" w:rsidR="00166020" w:rsidRPr="00613F20" w:rsidRDefault="00166020" w:rsidP="00166020">
      <w:pPr>
        <w:spacing w:after="0"/>
        <w:ind w:left="720"/>
        <w:jc w:val="both"/>
        <w:rPr>
          <w:rFonts w:ascii="Amasis MT Pro" w:hAnsi="Amasis MT Pro" w:cs="Arial"/>
          <w:bCs/>
          <w:sz w:val="24"/>
          <w:szCs w:val="24"/>
        </w:rPr>
      </w:pPr>
    </w:p>
    <w:p w14:paraId="0DD2E9D2" w14:textId="77777777" w:rsidR="00166020" w:rsidRPr="00613F20" w:rsidRDefault="00166020" w:rsidP="00CE1FB4">
      <w:pPr>
        <w:numPr>
          <w:ilvl w:val="0"/>
          <w:numId w:val="2"/>
        </w:numPr>
        <w:spacing w:after="0"/>
        <w:ind w:left="720"/>
        <w:jc w:val="both"/>
        <w:rPr>
          <w:rFonts w:ascii="Amasis MT Pro" w:hAnsi="Amasis MT Pro" w:cs="Arial"/>
          <w:b/>
          <w:bCs/>
          <w:sz w:val="24"/>
          <w:szCs w:val="24"/>
        </w:rPr>
      </w:pPr>
      <w:r w:rsidRPr="00613F20">
        <w:rPr>
          <w:rFonts w:ascii="Amasis MT Pro" w:hAnsi="Amasis MT Pro" w:cs="Arial"/>
          <w:b/>
          <w:bCs/>
          <w:sz w:val="24"/>
          <w:szCs w:val="24"/>
          <w:u w:val="single"/>
        </w:rPr>
        <w:t>Step 2:</w:t>
      </w:r>
      <w:r w:rsidRPr="00613F20">
        <w:rPr>
          <w:rFonts w:ascii="Amasis MT Pro" w:hAnsi="Amasis MT Pro" w:cs="Arial"/>
          <w:b/>
          <w:bCs/>
          <w:sz w:val="24"/>
          <w:szCs w:val="24"/>
        </w:rPr>
        <w:t xml:space="preserve"> Signing the capital transfer contract</w:t>
      </w:r>
    </w:p>
    <w:p w14:paraId="6F60D8C8" w14:textId="77777777" w:rsidR="00166020" w:rsidRPr="00613F20" w:rsidRDefault="00166020" w:rsidP="00166020">
      <w:pPr>
        <w:spacing w:after="0"/>
        <w:ind w:left="720"/>
        <w:jc w:val="both"/>
        <w:rPr>
          <w:rFonts w:ascii="Amasis MT Pro" w:hAnsi="Amasis MT Pro" w:cs="Arial"/>
          <w:b/>
          <w:bCs/>
          <w:sz w:val="24"/>
          <w:szCs w:val="24"/>
        </w:rPr>
      </w:pPr>
    </w:p>
    <w:p w14:paraId="71695309" w14:textId="77777777" w:rsidR="00166020" w:rsidRPr="00613F20" w:rsidRDefault="00166020" w:rsidP="00CE1FB4">
      <w:pPr>
        <w:numPr>
          <w:ilvl w:val="0"/>
          <w:numId w:val="3"/>
        </w:numPr>
        <w:spacing w:after="0"/>
        <w:ind w:left="1440" w:hanging="720"/>
        <w:jc w:val="both"/>
        <w:rPr>
          <w:rFonts w:ascii="Amasis MT Pro" w:hAnsi="Amasis MT Pro" w:cs="Arial"/>
          <w:bCs/>
          <w:sz w:val="24"/>
          <w:szCs w:val="24"/>
        </w:rPr>
      </w:pPr>
      <w:r w:rsidRPr="00613F20">
        <w:rPr>
          <w:rFonts w:ascii="Amasis MT Pro" w:hAnsi="Amasis MT Pro" w:cs="Arial"/>
          <w:bCs/>
          <w:sz w:val="24"/>
          <w:szCs w:val="24"/>
        </w:rPr>
        <w:t>The capital transfer contract between the parent company and the Buyer must be signed by the legal representative of the parent company and the Buyer.</w:t>
      </w:r>
      <w:r w:rsidRPr="00613F20">
        <w:rPr>
          <w:rFonts w:ascii="Amasis MT Pro" w:hAnsi="Amasis MT Pro" w:cs="Arial"/>
          <w:bCs/>
          <w:sz w:val="24"/>
          <w:szCs w:val="24"/>
          <w:vertAlign w:val="superscript"/>
        </w:rPr>
        <w:footnoteReference w:id="5"/>
      </w:r>
      <w:r w:rsidRPr="00613F20">
        <w:rPr>
          <w:rFonts w:ascii="Amasis MT Pro" w:hAnsi="Amasis MT Pro" w:cs="Arial"/>
          <w:bCs/>
          <w:sz w:val="24"/>
          <w:szCs w:val="24"/>
        </w:rPr>
        <w:t xml:space="preserve"> In case the person who signs the capital transfer contract is not the legal representative of the parent company and the Buyer, a power of attorney of the legal representative for the signatory is required.</w:t>
      </w:r>
    </w:p>
    <w:p w14:paraId="70A36D23" w14:textId="77777777" w:rsidR="00166020" w:rsidRPr="00613F20" w:rsidRDefault="00166020" w:rsidP="00166020">
      <w:pPr>
        <w:spacing w:after="0"/>
        <w:ind w:left="720"/>
        <w:jc w:val="both"/>
        <w:rPr>
          <w:rFonts w:ascii="Amasis MT Pro" w:hAnsi="Amasis MT Pro" w:cs="Arial"/>
          <w:bCs/>
          <w:sz w:val="24"/>
          <w:szCs w:val="24"/>
        </w:rPr>
      </w:pPr>
    </w:p>
    <w:p w14:paraId="489ED512" w14:textId="77777777" w:rsidR="00166020" w:rsidRPr="00613F20" w:rsidRDefault="00166020" w:rsidP="00745826">
      <w:pPr>
        <w:numPr>
          <w:ilvl w:val="0"/>
          <w:numId w:val="3"/>
        </w:numPr>
        <w:spacing w:after="0"/>
        <w:ind w:left="1440" w:hanging="720"/>
        <w:jc w:val="both"/>
        <w:rPr>
          <w:rFonts w:ascii="Amasis MT Pro" w:hAnsi="Amasis MT Pro" w:cs="Arial"/>
          <w:bCs/>
          <w:sz w:val="24"/>
          <w:szCs w:val="24"/>
        </w:rPr>
      </w:pPr>
      <w:r w:rsidRPr="00613F20">
        <w:rPr>
          <w:rFonts w:ascii="Amasis MT Pro" w:hAnsi="Amasis MT Pro" w:cs="Arial"/>
          <w:bCs/>
          <w:sz w:val="24"/>
          <w:szCs w:val="24"/>
        </w:rPr>
        <w:t xml:space="preserve">The capital transfer contract between the parent company and the Buyer must contain at least the following basic contents: information of the parent company and the Buyer, the number and value of contributed capital in the transferred subsidiary company; method and time of payment, rights and obligations of the parties, contract termination, dispute resolution, etc. </w:t>
      </w:r>
    </w:p>
    <w:p w14:paraId="1060E909" w14:textId="77777777" w:rsidR="00166020" w:rsidRPr="00613F20" w:rsidRDefault="00166020" w:rsidP="00166020">
      <w:pPr>
        <w:spacing w:after="0"/>
        <w:ind w:left="720"/>
        <w:jc w:val="both"/>
        <w:rPr>
          <w:rFonts w:ascii="Amasis MT Pro" w:hAnsi="Amasis MT Pro" w:cs="Arial"/>
          <w:bCs/>
          <w:sz w:val="24"/>
          <w:szCs w:val="24"/>
        </w:rPr>
      </w:pPr>
    </w:p>
    <w:p w14:paraId="70D8BB69" w14:textId="77777777" w:rsidR="00166020" w:rsidRPr="00613F20" w:rsidRDefault="00166020" w:rsidP="00745826">
      <w:pPr>
        <w:numPr>
          <w:ilvl w:val="0"/>
          <w:numId w:val="3"/>
        </w:numPr>
        <w:spacing w:after="0"/>
        <w:ind w:left="1440" w:hanging="720"/>
        <w:jc w:val="both"/>
        <w:rPr>
          <w:rFonts w:ascii="Amasis MT Pro" w:hAnsi="Amasis MT Pro" w:cs="Arial"/>
          <w:bCs/>
          <w:sz w:val="24"/>
          <w:szCs w:val="24"/>
        </w:rPr>
      </w:pPr>
      <w:r w:rsidRPr="00613F20">
        <w:rPr>
          <w:rFonts w:ascii="Amasis MT Pro" w:hAnsi="Amasis MT Pro" w:cs="Arial"/>
          <w:bCs/>
          <w:sz w:val="24"/>
          <w:szCs w:val="24"/>
        </w:rPr>
        <w:t xml:space="preserve">The parent company is responsible for determining and declaring corporate income tax from the transfer of capital in the subsidiary to the tax authority. </w:t>
      </w:r>
    </w:p>
    <w:p w14:paraId="459A8D60" w14:textId="77777777" w:rsidR="00166020" w:rsidRPr="00613F20" w:rsidRDefault="00166020" w:rsidP="00166020">
      <w:pPr>
        <w:spacing w:after="0"/>
        <w:ind w:left="720"/>
        <w:jc w:val="both"/>
        <w:rPr>
          <w:rFonts w:ascii="Amasis MT Pro" w:hAnsi="Amasis MT Pro" w:cs="Arial"/>
          <w:bCs/>
          <w:sz w:val="24"/>
          <w:szCs w:val="24"/>
        </w:rPr>
      </w:pPr>
    </w:p>
    <w:p w14:paraId="552E7ACF" w14:textId="77777777" w:rsidR="00166020" w:rsidRPr="00613F20" w:rsidRDefault="00166020" w:rsidP="00745826">
      <w:pPr>
        <w:numPr>
          <w:ilvl w:val="0"/>
          <w:numId w:val="2"/>
        </w:numPr>
        <w:spacing w:after="0"/>
        <w:ind w:left="0" w:firstLine="0"/>
        <w:jc w:val="both"/>
        <w:rPr>
          <w:rFonts w:ascii="Amasis MT Pro" w:hAnsi="Amasis MT Pro" w:cs="Arial"/>
          <w:b/>
          <w:bCs/>
          <w:sz w:val="24"/>
          <w:szCs w:val="24"/>
        </w:rPr>
      </w:pPr>
      <w:r w:rsidRPr="00613F20">
        <w:rPr>
          <w:rFonts w:ascii="Amasis MT Pro" w:hAnsi="Amasis MT Pro" w:cs="Arial"/>
          <w:b/>
          <w:bCs/>
          <w:sz w:val="24"/>
          <w:szCs w:val="24"/>
          <w:u w:val="single"/>
        </w:rPr>
        <w:t>Step 3:</w:t>
      </w:r>
      <w:r w:rsidRPr="00613F20">
        <w:rPr>
          <w:rFonts w:ascii="Amasis MT Pro" w:hAnsi="Amasis MT Pro" w:cs="Arial"/>
          <w:b/>
          <w:bCs/>
          <w:sz w:val="24"/>
          <w:szCs w:val="24"/>
        </w:rPr>
        <w:t xml:space="preserve"> Registration of capital transfer and post-licensing procedures </w:t>
      </w:r>
    </w:p>
    <w:p w14:paraId="732A365B" w14:textId="77777777" w:rsidR="00166020" w:rsidRPr="00613F20" w:rsidRDefault="00166020" w:rsidP="00166020">
      <w:pPr>
        <w:spacing w:after="0"/>
        <w:ind w:left="720"/>
        <w:jc w:val="both"/>
        <w:rPr>
          <w:rFonts w:ascii="Amasis MT Pro" w:hAnsi="Amasis MT Pro" w:cs="Arial"/>
          <w:b/>
          <w:bCs/>
          <w:sz w:val="24"/>
          <w:szCs w:val="24"/>
          <w:u w:val="single"/>
        </w:rPr>
      </w:pPr>
    </w:p>
    <w:p w14:paraId="35743520" w14:textId="77777777" w:rsidR="00166020" w:rsidRPr="00613F20" w:rsidRDefault="00166020" w:rsidP="00745826">
      <w:pPr>
        <w:numPr>
          <w:ilvl w:val="0"/>
          <w:numId w:val="3"/>
        </w:numPr>
        <w:spacing w:after="0"/>
        <w:ind w:left="1440" w:hanging="720"/>
        <w:jc w:val="both"/>
        <w:rPr>
          <w:rFonts w:ascii="Amasis MT Pro" w:hAnsi="Amasis MT Pro" w:cs="Arial"/>
          <w:bCs/>
          <w:sz w:val="24"/>
          <w:szCs w:val="24"/>
        </w:rPr>
      </w:pPr>
      <w:r w:rsidRPr="00613F20">
        <w:rPr>
          <w:rFonts w:ascii="Amasis MT Pro" w:hAnsi="Amasis MT Pro" w:cs="Arial"/>
          <w:bCs/>
          <w:sz w:val="24"/>
          <w:szCs w:val="24"/>
        </w:rPr>
        <w:lastRenderedPageBreak/>
        <w:t>After the parent company transfers its contributed capital in the subsidiary company to the Buyer, the subsidiary must carry out the procedures for registration of amendment of the Enterprise Registration Certificate (“</w:t>
      </w:r>
      <w:r w:rsidRPr="00613F20">
        <w:rPr>
          <w:rFonts w:ascii="Amasis MT Pro" w:hAnsi="Amasis MT Pro" w:cs="Arial"/>
          <w:b/>
          <w:sz w:val="24"/>
          <w:szCs w:val="24"/>
        </w:rPr>
        <w:t>ERC</w:t>
      </w:r>
      <w:r w:rsidRPr="00613F20">
        <w:rPr>
          <w:rFonts w:ascii="Amasis MT Pro" w:hAnsi="Amasis MT Pro" w:cs="Arial"/>
          <w:bCs/>
          <w:sz w:val="24"/>
          <w:szCs w:val="24"/>
        </w:rPr>
        <w:t xml:space="preserve">”)/notice of changing enterprise information with the local Department of Planning and Investment. </w:t>
      </w:r>
    </w:p>
    <w:p w14:paraId="4626CE0A" w14:textId="77777777" w:rsidR="00166020" w:rsidRPr="00613F20" w:rsidRDefault="00166020" w:rsidP="00166020">
      <w:pPr>
        <w:spacing w:after="0"/>
        <w:jc w:val="both"/>
        <w:rPr>
          <w:rFonts w:ascii="Amasis MT Pro" w:hAnsi="Amasis MT Pro" w:cs="Arial"/>
          <w:bCs/>
          <w:sz w:val="24"/>
          <w:szCs w:val="24"/>
        </w:rPr>
      </w:pPr>
    </w:p>
    <w:p w14:paraId="59BB1F10" w14:textId="77777777" w:rsidR="00166020" w:rsidRPr="00613F20" w:rsidRDefault="00166020" w:rsidP="00745826">
      <w:pPr>
        <w:numPr>
          <w:ilvl w:val="0"/>
          <w:numId w:val="3"/>
        </w:numPr>
        <w:spacing w:after="0"/>
        <w:ind w:left="1440" w:hanging="720"/>
        <w:jc w:val="both"/>
        <w:rPr>
          <w:rFonts w:ascii="Amasis MT Pro" w:hAnsi="Amasis MT Pro" w:cs="Arial"/>
          <w:bCs/>
          <w:sz w:val="24"/>
          <w:szCs w:val="24"/>
        </w:rPr>
      </w:pPr>
      <w:r w:rsidRPr="00613F20">
        <w:rPr>
          <w:rFonts w:ascii="Amasis MT Pro" w:hAnsi="Amasis MT Pro" w:cs="Arial"/>
          <w:bCs/>
          <w:sz w:val="24"/>
          <w:szCs w:val="24"/>
        </w:rPr>
        <w:t>Post-licensing procedures:</w:t>
      </w:r>
    </w:p>
    <w:p w14:paraId="7AA382F3" w14:textId="77777777" w:rsidR="00166020" w:rsidRPr="00613F20" w:rsidRDefault="00166020" w:rsidP="00166020">
      <w:pPr>
        <w:spacing w:after="0"/>
        <w:ind w:left="720"/>
        <w:jc w:val="both"/>
        <w:rPr>
          <w:rFonts w:ascii="Amasis MT Pro" w:hAnsi="Amasis MT Pro" w:cs="Arial"/>
          <w:bCs/>
          <w:sz w:val="24"/>
          <w:szCs w:val="24"/>
          <w:u w:val="single"/>
        </w:rPr>
      </w:pPr>
    </w:p>
    <w:p w14:paraId="6DE391D2" w14:textId="77777777" w:rsidR="00166020" w:rsidRPr="00613F20" w:rsidRDefault="00166020" w:rsidP="00745826">
      <w:pPr>
        <w:spacing w:after="0"/>
        <w:ind w:left="1440"/>
        <w:jc w:val="both"/>
        <w:rPr>
          <w:rFonts w:ascii="Amasis MT Pro" w:hAnsi="Amasis MT Pro" w:cs="Arial"/>
          <w:bCs/>
          <w:sz w:val="24"/>
          <w:szCs w:val="24"/>
        </w:rPr>
      </w:pPr>
      <w:r w:rsidRPr="00613F20">
        <w:rPr>
          <w:rFonts w:ascii="Amasis MT Pro" w:hAnsi="Amasis MT Pro" w:cs="Arial"/>
          <w:bCs/>
          <w:sz w:val="24"/>
          <w:szCs w:val="24"/>
        </w:rPr>
        <w:t>After the subsidiary is issued an amended ERC recording the transfer of capital contribution, the subsidiary company must carry out the following licensing procedures:</w:t>
      </w:r>
    </w:p>
    <w:p w14:paraId="4E5E14B5" w14:textId="77777777" w:rsidR="00166020" w:rsidRPr="00613F20" w:rsidRDefault="00166020" w:rsidP="00166020">
      <w:pPr>
        <w:spacing w:after="0"/>
        <w:ind w:left="720"/>
        <w:jc w:val="both"/>
        <w:rPr>
          <w:rFonts w:ascii="Amasis MT Pro" w:hAnsi="Amasis MT Pro" w:cs="Arial"/>
          <w:bCs/>
          <w:sz w:val="24"/>
          <w:szCs w:val="24"/>
        </w:rPr>
      </w:pPr>
    </w:p>
    <w:p w14:paraId="0A4D417E" w14:textId="77777777" w:rsidR="00166020" w:rsidRPr="00613F20" w:rsidRDefault="00166020" w:rsidP="00745826">
      <w:pPr>
        <w:numPr>
          <w:ilvl w:val="0"/>
          <w:numId w:val="4"/>
        </w:numPr>
        <w:spacing w:after="0"/>
        <w:ind w:left="2160" w:hanging="720"/>
        <w:jc w:val="both"/>
        <w:rPr>
          <w:rFonts w:ascii="Amasis MT Pro" w:hAnsi="Amasis MT Pro" w:cs="Arial"/>
          <w:bCs/>
          <w:sz w:val="24"/>
          <w:szCs w:val="24"/>
        </w:rPr>
      </w:pPr>
      <w:r w:rsidRPr="00613F20">
        <w:rPr>
          <w:rFonts w:ascii="Amasis MT Pro" w:hAnsi="Amasis MT Pro" w:cs="Arial"/>
          <w:bCs/>
          <w:sz w:val="24"/>
          <w:szCs w:val="24"/>
        </w:rPr>
        <w:t>Making a register of members/shareholders; issue the certificate of capital contribution to the Buyer; and</w:t>
      </w:r>
    </w:p>
    <w:p w14:paraId="50D63B2A" w14:textId="77777777" w:rsidR="00166020" w:rsidRPr="00613F20" w:rsidRDefault="00166020" w:rsidP="00166020">
      <w:pPr>
        <w:spacing w:after="0"/>
        <w:ind w:left="720"/>
        <w:jc w:val="both"/>
        <w:rPr>
          <w:rFonts w:ascii="Amasis MT Pro" w:hAnsi="Amasis MT Pro" w:cs="Arial"/>
          <w:bCs/>
          <w:sz w:val="24"/>
          <w:szCs w:val="24"/>
        </w:rPr>
      </w:pPr>
    </w:p>
    <w:p w14:paraId="45A8A388" w14:textId="77777777" w:rsidR="00166020" w:rsidRPr="00613F20" w:rsidRDefault="00166020" w:rsidP="00745826">
      <w:pPr>
        <w:numPr>
          <w:ilvl w:val="0"/>
          <w:numId w:val="4"/>
        </w:numPr>
        <w:spacing w:after="0"/>
        <w:ind w:left="2160" w:hanging="720"/>
        <w:jc w:val="both"/>
        <w:rPr>
          <w:rFonts w:ascii="Amasis MT Pro" w:hAnsi="Amasis MT Pro"/>
          <w:bCs/>
          <w:sz w:val="24"/>
          <w:szCs w:val="24"/>
        </w:rPr>
      </w:pPr>
      <w:r w:rsidRPr="00613F20">
        <w:rPr>
          <w:rFonts w:ascii="Amasis MT Pro" w:hAnsi="Amasis MT Pro" w:cs="Arial"/>
          <w:bCs/>
          <w:sz w:val="24"/>
          <w:szCs w:val="24"/>
        </w:rPr>
        <w:t>Report the change on the National Business Registration Portal within 30 days from the date of issuance of the amended ERC.</w:t>
      </w:r>
    </w:p>
    <w:p w14:paraId="71967A1C" w14:textId="77777777" w:rsidR="00166020" w:rsidRPr="00613F20" w:rsidRDefault="00166020" w:rsidP="00166020">
      <w:pPr>
        <w:spacing w:after="0"/>
        <w:ind w:left="720"/>
        <w:jc w:val="both"/>
        <w:rPr>
          <w:rFonts w:ascii="Amasis MT Pro" w:hAnsi="Amasis MT Pro"/>
          <w:bCs/>
          <w:sz w:val="24"/>
          <w:szCs w:val="24"/>
        </w:rPr>
      </w:pPr>
    </w:p>
    <w:p w14:paraId="4A2F31EF" w14:textId="318AFFE4" w:rsidR="00166020" w:rsidRPr="00613F20" w:rsidRDefault="00166020" w:rsidP="00D10458">
      <w:pPr>
        <w:spacing w:after="0"/>
        <w:ind w:left="720"/>
        <w:jc w:val="both"/>
        <w:rPr>
          <w:rFonts w:ascii="Amasis MT Pro" w:hAnsi="Amasis MT Pro" w:cs="Arial"/>
          <w:b/>
          <w:bCs/>
        </w:rPr>
      </w:pPr>
      <w:r w:rsidRPr="00613F20">
        <w:rPr>
          <w:rFonts w:ascii="Amasis MT Pro" w:hAnsi="Amasis MT Pro"/>
          <w:bCs/>
          <w:sz w:val="24"/>
          <w:szCs w:val="24"/>
        </w:rPr>
        <w:t xml:space="preserve"> </w:t>
      </w:r>
    </w:p>
    <w:p w14:paraId="6A9DE4F4" w14:textId="723AAF50" w:rsidR="004C724C" w:rsidRDefault="004C724C" w:rsidP="004C724C">
      <w:pPr>
        <w:jc w:val="right"/>
        <w:rPr>
          <w:rFonts w:ascii="Cambria" w:hAnsi="Cambria"/>
        </w:rPr>
      </w:pPr>
      <w:r>
        <w:rPr>
          <w:rFonts w:ascii="Amasis MT Pro" w:hAnsi="Amasis MT Pro"/>
        </w:rPr>
        <w:t>Hoang Thi Thuy Trieu</w:t>
      </w:r>
      <w:r>
        <w:rPr>
          <w:rFonts w:ascii="Cambria" w:hAnsi="Cambria"/>
        </w:rPr>
        <w:t xml:space="preserve"> – Legal Consultant</w:t>
      </w:r>
    </w:p>
    <w:p w14:paraId="46655961" w14:textId="7D1B690C" w:rsidR="004C724C" w:rsidRPr="004C724C" w:rsidRDefault="004C724C" w:rsidP="004C724C">
      <w:pPr>
        <w:jc w:val="right"/>
        <w:rPr>
          <w:rFonts w:ascii="Cambria" w:hAnsi="Cambria"/>
          <w:b/>
          <w:bCs/>
          <w:u w:val="single"/>
        </w:rPr>
      </w:pPr>
      <w:r w:rsidRPr="004C724C">
        <w:rPr>
          <w:rFonts w:ascii="Cambria" w:hAnsi="Cambria"/>
          <w:b/>
          <w:bCs/>
          <w:u w:val="single"/>
        </w:rPr>
        <w:t>ADK &amp; Co Vietnam Lawyers Law Firm</w:t>
      </w:r>
    </w:p>
    <w:p w14:paraId="1F7DCB1E" w14:textId="77777777" w:rsidR="00E51CE3" w:rsidRPr="00613F20" w:rsidRDefault="00E51CE3">
      <w:pPr>
        <w:rPr>
          <w:rFonts w:ascii="Amasis MT Pro" w:hAnsi="Amasis MT Pro"/>
        </w:rPr>
      </w:pPr>
    </w:p>
    <w:sectPr w:rsidR="00E51CE3" w:rsidRPr="00613F20" w:rsidSect="001B18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A72E" w14:textId="77777777" w:rsidR="001C5F44" w:rsidRDefault="001C5F44" w:rsidP="00166020">
      <w:pPr>
        <w:spacing w:after="0" w:line="240" w:lineRule="auto"/>
      </w:pPr>
      <w:r>
        <w:separator/>
      </w:r>
    </w:p>
  </w:endnote>
  <w:endnote w:type="continuationSeparator" w:id="0">
    <w:p w14:paraId="7F3A9D95" w14:textId="77777777" w:rsidR="001C5F44" w:rsidRDefault="001C5F44" w:rsidP="0016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n Francisco Text Light">
    <w:altName w:val="Arial"/>
    <w:panose1 w:val="00000000000000000000"/>
    <w:charset w:val="00"/>
    <w:family w:val="modern"/>
    <w:notTrueType/>
    <w:pitch w:val="variable"/>
    <w:sig w:usb0="A00000EF"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1367" w14:textId="77777777" w:rsidR="00FF5FD6" w:rsidRDefault="001C5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D0B2" w14:textId="77777777" w:rsidR="00233EA9" w:rsidRPr="00591F1C" w:rsidRDefault="00BE0DC5" w:rsidP="00FF5FD6">
    <w:pPr>
      <w:pBdr>
        <w:top w:val="single" w:sz="4" w:space="0" w:color="808080"/>
        <w:left w:val="single" w:sz="4" w:space="0"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1D832CFC" w14:textId="77777777" w:rsidR="00233EA9" w:rsidRPr="00591F1C" w:rsidRDefault="001C5F44" w:rsidP="00FF5FD6">
    <w:pPr>
      <w:pBdr>
        <w:top w:val="single" w:sz="4" w:space="0" w:color="808080"/>
        <w:left w:val="single" w:sz="4" w:space="0"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00BE0DC5" w:rsidRPr="00591F1C">
        <w:rPr>
          <w:rStyle w:val="Hyperlink"/>
          <w:rFonts w:ascii="Palatino Linotype" w:hAnsi="Palatino Linotype"/>
          <w:sz w:val="18"/>
          <w:szCs w:val="18"/>
        </w:rPr>
        <w:t>www.adk</w:t>
      </w:r>
      <w:r w:rsidR="00BE0DC5" w:rsidRPr="005C3A0B">
        <w:rPr>
          <w:rStyle w:val="Hyperlink"/>
          <w:rFonts w:ascii="Palatino Linotype" w:hAnsi="Palatino Linotype"/>
          <w:sz w:val="18"/>
          <w:szCs w:val="18"/>
        </w:rPr>
        <w:t>-lawyers</w:t>
      </w:r>
      <w:r w:rsidR="00BE0DC5" w:rsidRPr="00591F1C">
        <w:rPr>
          <w:rStyle w:val="Hyperlink"/>
          <w:rFonts w:ascii="Palatino Linotype" w:hAnsi="Palatino Linotype"/>
          <w:sz w:val="18"/>
          <w:szCs w:val="18"/>
        </w:rPr>
        <w:t>.com</w:t>
      </w:r>
    </w:hyperlink>
    <w:r w:rsidR="00BE0DC5" w:rsidRPr="00591F1C">
      <w:rPr>
        <w:rFonts w:ascii="Palatino Linotype" w:hAnsi="Palatino Linotype"/>
        <w:b/>
        <w:sz w:val="18"/>
        <w:szCs w:val="18"/>
      </w:rPr>
      <w:tab/>
    </w:r>
    <w:r w:rsidR="00BE0DC5" w:rsidRPr="00591F1C">
      <w:rPr>
        <w:rFonts w:ascii="Palatino Linotype" w:hAnsi="Palatino Linotype"/>
        <w:sz w:val="18"/>
        <w:szCs w:val="18"/>
      </w:rPr>
      <w:fldChar w:fldCharType="begin"/>
    </w:r>
    <w:r w:rsidR="00BE0DC5" w:rsidRPr="00591F1C">
      <w:rPr>
        <w:rFonts w:ascii="Palatino Linotype" w:hAnsi="Palatino Linotype"/>
        <w:sz w:val="18"/>
        <w:szCs w:val="18"/>
      </w:rPr>
      <w:instrText xml:space="preserve"> PAGE   \* MERGEFORMAT </w:instrText>
    </w:r>
    <w:r w:rsidR="00BE0DC5" w:rsidRPr="00591F1C">
      <w:rPr>
        <w:rFonts w:ascii="Palatino Linotype" w:hAnsi="Palatino Linotype"/>
        <w:sz w:val="18"/>
        <w:szCs w:val="18"/>
      </w:rPr>
      <w:fldChar w:fldCharType="separate"/>
    </w:r>
    <w:r w:rsidR="00BE0DC5">
      <w:rPr>
        <w:rFonts w:ascii="Palatino Linotype" w:hAnsi="Palatino Linotype"/>
        <w:sz w:val="18"/>
        <w:szCs w:val="18"/>
      </w:rPr>
      <w:t>3</w:t>
    </w:r>
    <w:r w:rsidR="00BE0DC5" w:rsidRPr="00591F1C">
      <w:rPr>
        <w:rFonts w:ascii="Palatino Linotype" w:hAnsi="Palatino Linotype"/>
        <w:sz w:val="18"/>
        <w:szCs w:val="18"/>
      </w:rPr>
      <w:fldChar w:fldCharType="end"/>
    </w:r>
    <w:r w:rsidR="00BE0DC5" w:rsidRPr="00591F1C">
      <w:rPr>
        <w:rFonts w:ascii="Palatino Linotype" w:hAnsi="Palatino Linotype"/>
        <w:sz w:val="18"/>
        <w:szCs w:val="18"/>
      </w:rPr>
      <w:t>/</w:t>
    </w:r>
    <w:r w:rsidR="00BE0DC5" w:rsidRPr="00591F1C">
      <w:rPr>
        <w:rFonts w:ascii="Palatino Linotype" w:hAnsi="Palatino Linotype"/>
        <w:sz w:val="18"/>
        <w:szCs w:val="18"/>
      </w:rPr>
      <w:fldChar w:fldCharType="begin"/>
    </w:r>
    <w:r w:rsidR="00BE0DC5" w:rsidRPr="00591F1C">
      <w:rPr>
        <w:rFonts w:ascii="Palatino Linotype" w:hAnsi="Palatino Linotype"/>
        <w:sz w:val="18"/>
        <w:szCs w:val="18"/>
      </w:rPr>
      <w:instrText xml:space="preserve"> NUMPAGES  \* Arabic  \* MERGEFORMAT </w:instrText>
    </w:r>
    <w:r w:rsidR="00BE0DC5" w:rsidRPr="00591F1C">
      <w:rPr>
        <w:rFonts w:ascii="Palatino Linotype" w:hAnsi="Palatino Linotype"/>
        <w:sz w:val="18"/>
        <w:szCs w:val="18"/>
      </w:rPr>
      <w:fldChar w:fldCharType="separate"/>
    </w:r>
    <w:r w:rsidR="00BE0DC5">
      <w:rPr>
        <w:rFonts w:ascii="Palatino Linotype" w:hAnsi="Palatino Linotype"/>
        <w:sz w:val="18"/>
        <w:szCs w:val="18"/>
      </w:rPr>
      <w:t>3</w:t>
    </w:r>
    <w:r w:rsidR="00BE0DC5" w:rsidRPr="00591F1C">
      <w:rPr>
        <w:rFonts w:ascii="Palatino Linotype" w:hAnsi="Palatino Linotype"/>
        <w:sz w:val="18"/>
        <w:szCs w:val="18"/>
      </w:rPr>
      <w:fldChar w:fldCharType="end"/>
    </w:r>
  </w:p>
  <w:p w14:paraId="4C618933" w14:textId="77777777" w:rsidR="00B375BC" w:rsidRDefault="001C5F44" w:rsidP="001B18D8">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A5D2" w14:textId="77777777" w:rsidR="00FF5FD6" w:rsidRDefault="001C5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44117" w14:textId="77777777" w:rsidR="001C5F44" w:rsidRDefault="001C5F44" w:rsidP="00166020">
      <w:pPr>
        <w:spacing w:after="0" w:line="240" w:lineRule="auto"/>
      </w:pPr>
      <w:r>
        <w:separator/>
      </w:r>
    </w:p>
  </w:footnote>
  <w:footnote w:type="continuationSeparator" w:id="0">
    <w:p w14:paraId="2F809236" w14:textId="77777777" w:rsidR="001C5F44" w:rsidRDefault="001C5F44" w:rsidP="00166020">
      <w:pPr>
        <w:spacing w:after="0" w:line="240" w:lineRule="auto"/>
      </w:pPr>
      <w:r>
        <w:continuationSeparator/>
      </w:r>
    </w:p>
  </w:footnote>
  <w:footnote w:id="1">
    <w:p w14:paraId="0F9B73FF" w14:textId="72C40EC3" w:rsidR="00166020" w:rsidRPr="001A526D" w:rsidRDefault="00166020" w:rsidP="00166020">
      <w:pPr>
        <w:pStyle w:val="FootnoteText"/>
        <w:rPr>
          <w:rFonts w:ascii="Arial" w:hAnsi="Arial" w:cs="Arial"/>
          <w:lang w:val="en-US"/>
        </w:rPr>
      </w:pPr>
      <w:r w:rsidRPr="003F1C8C">
        <w:rPr>
          <w:rStyle w:val="FootnoteReference"/>
          <w:rFonts w:ascii="Arial" w:hAnsi="Arial" w:cs="Arial"/>
        </w:rPr>
        <w:footnoteRef/>
      </w:r>
      <w:r w:rsidRPr="003F1C8C">
        <w:rPr>
          <w:rFonts w:ascii="Arial" w:hAnsi="Arial" w:cs="Arial"/>
        </w:rPr>
        <w:t xml:space="preserve"> </w:t>
      </w:r>
      <w:proofErr w:type="spellStart"/>
      <w:r w:rsidRPr="003F1C8C">
        <w:rPr>
          <w:rFonts w:ascii="Arial" w:hAnsi="Arial" w:cs="Arial"/>
        </w:rPr>
        <w:t>Article</w:t>
      </w:r>
      <w:proofErr w:type="spellEnd"/>
      <w:r w:rsidRPr="003F1C8C">
        <w:rPr>
          <w:rFonts w:ascii="Arial" w:hAnsi="Arial" w:cs="Arial"/>
        </w:rPr>
        <w:t xml:space="preserve"> 1</w:t>
      </w:r>
      <w:r w:rsidR="001A526D">
        <w:rPr>
          <w:rFonts w:ascii="Arial" w:hAnsi="Arial" w:cs="Arial"/>
          <w:lang w:val="en-US"/>
        </w:rPr>
        <w:t>95.1</w:t>
      </w:r>
      <w:r w:rsidRPr="003F1C8C">
        <w:rPr>
          <w:rFonts w:ascii="Arial" w:hAnsi="Arial" w:cs="Arial"/>
        </w:rPr>
        <w:t xml:space="preserve"> Law </w:t>
      </w:r>
      <w:proofErr w:type="spellStart"/>
      <w:r w:rsidRPr="003F1C8C">
        <w:rPr>
          <w:rFonts w:ascii="Arial" w:hAnsi="Arial" w:cs="Arial"/>
        </w:rPr>
        <w:t>on</w:t>
      </w:r>
      <w:proofErr w:type="spellEnd"/>
      <w:r w:rsidRPr="003F1C8C">
        <w:rPr>
          <w:rFonts w:ascii="Arial" w:hAnsi="Arial" w:cs="Arial"/>
        </w:rPr>
        <w:t xml:space="preserve"> </w:t>
      </w:r>
      <w:proofErr w:type="spellStart"/>
      <w:r w:rsidRPr="003F1C8C">
        <w:rPr>
          <w:rFonts w:ascii="Arial" w:hAnsi="Arial" w:cs="Arial"/>
        </w:rPr>
        <w:t>Enterprises</w:t>
      </w:r>
      <w:proofErr w:type="spellEnd"/>
      <w:r w:rsidRPr="003F1C8C">
        <w:rPr>
          <w:rFonts w:ascii="Arial" w:hAnsi="Arial" w:cs="Arial"/>
        </w:rPr>
        <w:t xml:space="preserve"> 20</w:t>
      </w:r>
      <w:r w:rsidR="001A526D">
        <w:rPr>
          <w:rFonts w:ascii="Arial" w:hAnsi="Arial" w:cs="Arial"/>
          <w:lang w:val="en-US"/>
        </w:rPr>
        <w:t>20</w:t>
      </w:r>
    </w:p>
  </w:footnote>
  <w:footnote w:id="2">
    <w:p w14:paraId="59BDACC4" w14:textId="77777777" w:rsidR="00166020" w:rsidRPr="003F1C8C" w:rsidRDefault="00166020" w:rsidP="00166020">
      <w:pPr>
        <w:pStyle w:val="FootnoteText"/>
        <w:rPr>
          <w:rFonts w:ascii="Arial" w:hAnsi="Arial" w:cs="Arial"/>
        </w:rPr>
      </w:pPr>
      <w:r w:rsidRPr="003F1C8C">
        <w:rPr>
          <w:rStyle w:val="FootnoteReference"/>
          <w:rFonts w:ascii="Arial" w:hAnsi="Arial" w:cs="Arial"/>
        </w:rPr>
        <w:footnoteRef/>
      </w:r>
      <w:r w:rsidRPr="003F1C8C">
        <w:rPr>
          <w:rFonts w:ascii="Arial" w:hAnsi="Arial" w:cs="Arial"/>
        </w:rPr>
        <w:t xml:space="preserve"> </w:t>
      </w:r>
      <w:proofErr w:type="spellStart"/>
      <w:r w:rsidRPr="003F1C8C">
        <w:rPr>
          <w:rFonts w:ascii="Arial" w:hAnsi="Arial" w:cs="Arial"/>
        </w:rPr>
        <w:t>Article</w:t>
      </w:r>
      <w:proofErr w:type="spellEnd"/>
      <w:r w:rsidRPr="003F1C8C">
        <w:rPr>
          <w:rFonts w:ascii="Arial" w:hAnsi="Arial" w:cs="Arial"/>
        </w:rPr>
        <w:t xml:space="preserve"> 16.2 </w:t>
      </w:r>
      <w:proofErr w:type="spellStart"/>
      <w:r w:rsidRPr="003F1C8C">
        <w:rPr>
          <w:rFonts w:ascii="Arial" w:hAnsi="Arial" w:cs="Arial"/>
        </w:rPr>
        <w:t>Decree</w:t>
      </w:r>
      <w:proofErr w:type="spellEnd"/>
      <w:r w:rsidRPr="003F1C8C">
        <w:rPr>
          <w:rFonts w:ascii="Arial" w:hAnsi="Arial" w:cs="Arial"/>
        </w:rPr>
        <w:t xml:space="preserve"> No. 96/2015/ND-CP </w:t>
      </w:r>
    </w:p>
  </w:footnote>
  <w:footnote w:id="3">
    <w:p w14:paraId="5C99BEB5" w14:textId="61A23598" w:rsidR="00166020" w:rsidRPr="006C4D4D" w:rsidRDefault="00166020" w:rsidP="00166020">
      <w:pPr>
        <w:pStyle w:val="FootnoteText"/>
        <w:rPr>
          <w:rFonts w:ascii="Arial" w:hAnsi="Arial" w:cs="Arial"/>
          <w:lang w:val="en-US"/>
        </w:rPr>
      </w:pPr>
      <w:r w:rsidRPr="003F1C8C">
        <w:rPr>
          <w:rStyle w:val="FootnoteReference"/>
          <w:rFonts w:ascii="Arial" w:hAnsi="Arial" w:cs="Arial"/>
        </w:rPr>
        <w:footnoteRef/>
      </w:r>
      <w:r w:rsidRPr="003F1C8C">
        <w:rPr>
          <w:rFonts w:ascii="Arial" w:hAnsi="Arial" w:cs="Arial"/>
        </w:rPr>
        <w:t xml:space="preserve"> </w:t>
      </w:r>
      <w:proofErr w:type="spellStart"/>
      <w:r w:rsidRPr="003F1C8C">
        <w:rPr>
          <w:rFonts w:ascii="Arial" w:hAnsi="Arial" w:cs="Arial"/>
        </w:rPr>
        <w:t>Article</w:t>
      </w:r>
      <w:proofErr w:type="spellEnd"/>
      <w:r w:rsidRPr="003F1C8C">
        <w:rPr>
          <w:rFonts w:ascii="Arial" w:hAnsi="Arial" w:cs="Arial"/>
        </w:rPr>
        <w:t xml:space="preserve"> 1</w:t>
      </w:r>
      <w:r w:rsidR="006C4D4D">
        <w:rPr>
          <w:rFonts w:ascii="Arial" w:hAnsi="Arial" w:cs="Arial"/>
          <w:lang w:val="en-US"/>
        </w:rPr>
        <w:t>95</w:t>
      </w:r>
      <w:r w:rsidRPr="003F1C8C">
        <w:rPr>
          <w:rFonts w:ascii="Arial" w:hAnsi="Arial" w:cs="Arial"/>
        </w:rPr>
        <w:t xml:space="preserve">.(2) Law </w:t>
      </w:r>
      <w:proofErr w:type="spellStart"/>
      <w:r w:rsidRPr="003F1C8C">
        <w:rPr>
          <w:rFonts w:ascii="Arial" w:hAnsi="Arial" w:cs="Arial"/>
        </w:rPr>
        <w:t>on</w:t>
      </w:r>
      <w:proofErr w:type="spellEnd"/>
      <w:r w:rsidRPr="003F1C8C">
        <w:rPr>
          <w:rFonts w:ascii="Arial" w:hAnsi="Arial" w:cs="Arial"/>
        </w:rPr>
        <w:t xml:space="preserve"> </w:t>
      </w:r>
      <w:proofErr w:type="spellStart"/>
      <w:r w:rsidRPr="003F1C8C">
        <w:rPr>
          <w:rFonts w:ascii="Arial" w:hAnsi="Arial" w:cs="Arial"/>
        </w:rPr>
        <w:t>Enterprises</w:t>
      </w:r>
      <w:proofErr w:type="spellEnd"/>
      <w:r w:rsidRPr="003F1C8C">
        <w:rPr>
          <w:rFonts w:ascii="Arial" w:hAnsi="Arial" w:cs="Arial"/>
        </w:rPr>
        <w:t xml:space="preserve"> 20</w:t>
      </w:r>
      <w:r w:rsidR="006C4D4D">
        <w:rPr>
          <w:rFonts w:ascii="Arial" w:hAnsi="Arial" w:cs="Arial"/>
          <w:lang w:val="en-US"/>
        </w:rPr>
        <w:t>20</w:t>
      </w:r>
    </w:p>
  </w:footnote>
  <w:footnote w:id="4">
    <w:p w14:paraId="113607FD" w14:textId="77777777" w:rsidR="00166020" w:rsidRDefault="00166020" w:rsidP="00166020">
      <w:pPr>
        <w:pStyle w:val="FootnoteText"/>
      </w:pPr>
      <w:r w:rsidRPr="003F1C8C">
        <w:rPr>
          <w:rStyle w:val="FootnoteReference"/>
          <w:rFonts w:ascii="Arial" w:hAnsi="Arial" w:cs="Arial"/>
        </w:rPr>
        <w:footnoteRef/>
      </w:r>
      <w:r w:rsidRPr="003F1C8C">
        <w:rPr>
          <w:rFonts w:ascii="Arial" w:hAnsi="Arial" w:cs="Arial"/>
        </w:rPr>
        <w:t xml:space="preserve"> </w:t>
      </w:r>
      <w:proofErr w:type="spellStart"/>
      <w:r w:rsidRPr="003F1C8C">
        <w:rPr>
          <w:rFonts w:ascii="Arial" w:hAnsi="Arial" w:cs="Arial"/>
        </w:rPr>
        <w:t>Article</w:t>
      </w:r>
      <w:proofErr w:type="spellEnd"/>
      <w:r w:rsidRPr="003F1C8C">
        <w:rPr>
          <w:rFonts w:ascii="Arial" w:hAnsi="Arial" w:cs="Arial"/>
        </w:rPr>
        <w:t xml:space="preserve"> 39 </w:t>
      </w:r>
      <w:proofErr w:type="spellStart"/>
      <w:r w:rsidRPr="003F1C8C">
        <w:rPr>
          <w:rFonts w:ascii="Arial" w:hAnsi="Arial" w:cs="Arial"/>
        </w:rPr>
        <w:t>Decree</w:t>
      </w:r>
      <w:proofErr w:type="spellEnd"/>
      <w:r w:rsidRPr="003F1C8C">
        <w:rPr>
          <w:rFonts w:ascii="Arial" w:hAnsi="Arial" w:cs="Arial"/>
        </w:rPr>
        <w:t xml:space="preserve"> No. 50/2016/ND-CP</w:t>
      </w:r>
    </w:p>
  </w:footnote>
  <w:footnote w:id="5">
    <w:p w14:paraId="60DD2D68" w14:textId="77777777" w:rsidR="00166020" w:rsidRPr="003F1C8C" w:rsidRDefault="00166020" w:rsidP="00166020">
      <w:pPr>
        <w:pStyle w:val="FootnoteText"/>
        <w:tabs>
          <w:tab w:val="left" w:pos="284"/>
        </w:tabs>
        <w:ind w:left="284" w:hanging="284"/>
        <w:rPr>
          <w:rFonts w:ascii="Arial" w:hAnsi="Arial" w:cs="Arial"/>
        </w:rPr>
      </w:pPr>
      <w:r w:rsidRPr="003F1C8C">
        <w:rPr>
          <w:rStyle w:val="FootnoteReference"/>
          <w:rFonts w:ascii="Arial" w:hAnsi="Arial" w:cs="Arial"/>
        </w:rPr>
        <w:footnoteRef/>
      </w:r>
      <w:r w:rsidRPr="003F1C8C">
        <w:rPr>
          <w:rFonts w:ascii="Arial" w:hAnsi="Arial" w:cs="Arial"/>
        </w:rPr>
        <w:t xml:space="preserve"> </w:t>
      </w:r>
      <w:proofErr w:type="spellStart"/>
      <w:r w:rsidRPr="003F1C8C">
        <w:rPr>
          <w:rFonts w:ascii="Arial" w:hAnsi="Arial" w:cs="Arial"/>
        </w:rPr>
        <w:t>Article</w:t>
      </w:r>
      <w:proofErr w:type="spellEnd"/>
      <w:r w:rsidRPr="003F1C8C">
        <w:rPr>
          <w:rFonts w:ascii="Arial" w:hAnsi="Arial" w:cs="Arial"/>
        </w:rPr>
        <w:t xml:space="preserve"> 86.3 </w:t>
      </w:r>
      <w:proofErr w:type="spellStart"/>
      <w:r w:rsidRPr="003F1C8C">
        <w:rPr>
          <w:rFonts w:ascii="Arial" w:hAnsi="Arial" w:cs="Arial"/>
        </w:rPr>
        <w:t>and</w:t>
      </w:r>
      <w:proofErr w:type="spellEnd"/>
      <w:r w:rsidRPr="003F1C8C">
        <w:rPr>
          <w:rFonts w:ascii="Arial" w:hAnsi="Arial" w:cs="Arial"/>
        </w:rPr>
        <w:t xml:space="preserve"> </w:t>
      </w:r>
      <w:proofErr w:type="spellStart"/>
      <w:r w:rsidRPr="003F1C8C">
        <w:rPr>
          <w:rFonts w:ascii="Arial" w:hAnsi="Arial" w:cs="Arial"/>
        </w:rPr>
        <w:t>Article</w:t>
      </w:r>
      <w:proofErr w:type="spellEnd"/>
      <w:r w:rsidRPr="003F1C8C">
        <w:rPr>
          <w:rFonts w:ascii="Arial" w:hAnsi="Arial" w:cs="Arial"/>
        </w:rPr>
        <w:t xml:space="preserve"> 144 of the </w:t>
      </w:r>
      <w:proofErr w:type="spellStart"/>
      <w:r w:rsidRPr="003F1C8C">
        <w:rPr>
          <w:rFonts w:ascii="Arial" w:hAnsi="Arial" w:cs="Arial"/>
        </w:rPr>
        <w:t>Civil</w:t>
      </w:r>
      <w:proofErr w:type="spellEnd"/>
      <w:r w:rsidRPr="003F1C8C">
        <w:rPr>
          <w:rFonts w:ascii="Arial" w:hAnsi="Arial" w:cs="Arial"/>
        </w:rPr>
        <w:t xml:space="preserve"> </w:t>
      </w:r>
      <w:proofErr w:type="spellStart"/>
      <w:r w:rsidRPr="003F1C8C">
        <w:rPr>
          <w:rFonts w:ascii="Arial" w:hAnsi="Arial" w:cs="Arial"/>
        </w:rPr>
        <w:t>Code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59FB" w14:textId="77777777" w:rsidR="00FF5FD6" w:rsidRDefault="001C5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3538" w14:textId="77777777" w:rsidR="00B375BC" w:rsidRDefault="00BE0DC5" w:rsidP="00B375BC">
    <w:pPr>
      <w:pStyle w:val="Header"/>
      <w:ind w:left="-1440"/>
    </w:pPr>
    <w:r>
      <w:rPr>
        <w:noProof/>
      </w:rPr>
      <w:drawing>
        <wp:inline distT="0" distB="0" distL="0" distR="0" wp14:anchorId="28E8518D" wp14:editId="738D6822">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BA39" w14:textId="77777777" w:rsidR="00FF5FD6" w:rsidRDefault="001C5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263"/>
    <w:multiLevelType w:val="hybridMultilevel"/>
    <w:tmpl w:val="6786DB88"/>
    <w:lvl w:ilvl="0" w:tplc="0534E95E">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F7527E"/>
    <w:multiLevelType w:val="hybridMultilevel"/>
    <w:tmpl w:val="D91EF722"/>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390240E7"/>
    <w:multiLevelType w:val="hybridMultilevel"/>
    <w:tmpl w:val="658E68C8"/>
    <w:lvl w:ilvl="0" w:tplc="1BB8BF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958A5"/>
    <w:multiLevelType w:val="hybridMultilevel"/>
    <w:tmpl w:val="0ABE997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A8756B"/>
    <w:multiLevelType w:val="hybridMultilevel"/>
    <w:tmpl w:val="17DA6430"/>
    <w:lvl w:ilvl="0" w:tplc="60A61F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20"/>
    <w:rsid w:val="00166020"/>
    <w:rsid w:val="001A526D"/>
    <w:rsid w:val="001C5F44"/>
    <w:rsid w:val="004C724C"/>
    <w:rsid w:val="005E7CCB"/>
    <w:rsid w:val="00613F20"/>
    <w:rsid w:val="00643260"/>
    <w:rsid w:val="006C4D4D"/>
    <w:rsid w:val="00745826"/>
    <w:rsid w:val="007A5F78"/>
    <w:rsid w:val="00BE0DC5"/>
    <w:rsid w:val="00C10D75"/>
    <w:rsid w:val="00C4008A"/>
    <w:rsid w:val="00CE1FB4"/>
    <w:rsid w:val="00D10458"/>
    <w:rsid w:val="00E51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34AD"/>
  <w15:chartTrackingRefBased/>
  <w15:docId w15:val="{04F6C02E-6458-4895-9BE1-7CBB4EB4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0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020"/>
    <w:rPr>
      <w:rFonts w:ascii="Calibri" w:eastAsia="Calibri" w:hAnsi="Calibri" w:cs="Times New Roman"/>
    </w:rPr>
  </w:style>
  <w:style w:type="paragraph" w:styleId="Footer">
    <w:name w:val="footer"/>
    <w:basedOn w:val="Normal"/>
    <w:link w:val="FooterChar"/>
    <w:uiPriority w:val="99"/>
    <w:unhideWhenUsed/>
    <w:rsid w:val="00166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020"/>
    <w:rPr>
      <w:rFonts w:ascii="Calibri" w:eastAsia="Calibri" w:hAnsi="Calibri" w:cs="Times New Roman"/>
    </w:rPr>
  </w:style>
  <w:style w:type="character" w:styleId="Hyperlink">
    <w:name w:val="Hyperlink"/>
    <w:uiPriority w:val="99"/>
    <w:unhideWhenUsed/>
    <w:rsid w:val="00166020"/>
    <w:rPr>
      <w:color w:val="0000FF"/>
      <w:u w:val="single"/>
    </w:rPr>
  </w:style>
  <w:style w:type="paragraph" w:styleId="FootnoteText">
    <w:name w:val="footnote text"/>
    <w:basedOn w:val="Normal"/>
    <w:link w:val="FootnoteTextChar"/>
    <w:uiPriority w:val="99"/>
    <w:unhideWhenUsed/>
    <w:rsid w:val="00166020"/>
    <w:pPr>
      <w:spacing w:after="0" w:line="240" w:lineRule="auto"/>
      <w:jc w:val="both"/>
    </w:pPr>
    <w:rPr>
      <w:rFonts w:ascii="Times New Roman" w:eastAsiaTheme="minorEastAsia" w:hAnsi="Times New Roman"/>
      <w:sz w:val="20"/>
      <w:szCs w:val="20"/>
      <w:lang w:val="vi-VN" w:eastAsia="zh-CN"/>
    </w:rPr>
  </w:style>
  <w:style w:type="character" w:customStyle="1" w:styleId="FootnoteTextChar">
    <w:name w:val="Footnote Text Char"/>
    <w:basedOn w:val="DefaultParagraphFont"/>
    <w:link w:val="FootnoteText"/>
    <w:uiPriority w:val="99"/>
    <w:rsid w:val="00166020"/>
    <w:rPr>
      <w:rFonts w:ascii="Times New Roman" w:eastAsiaTheme="minorEastAsia" w:hAnsi="Times New Roman" w:cs="Times New Roman"/>
      <w:sz w:val="20"/>
      <w:szCs w:val="20"/>
      <w:lang w:val="vi-VN" w:eastAsia="zh-CN"/>
    </w:rPr>
  </w:style>
  <w:style w:type="character" w:styleId="FootnoteReference">
    <w:name w:val="footnote reference"/>
    <w:basedOn w:val="DefaultParagraphFont"/>
    <w:uiPriority w:val="99"/>
    <w:unhideWhenUsed/>
    <w:rsid w:val="001660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A6E7F1-7A50-41CD-AF3E-9A0719C0E2EF}"/>
</file>

<file path=customXml/itemProps2.xml><?xml version="1.0" encoding="utf-8"?>
<ds:datastoreItem xmlns:ds="http://schemas.openxmlformats.org/officeDocument/2006/customXml" ds:itemID="{2D636CE0-FEA1-4732-885F-C5AAF15BD117}"/>
</file>

<file path=customXml/itemProps3.xml><?xml version="1.0" encoding="utf-8"?>
<ds:datastoreItem xmlns:ds="http://schemas.openxmlformats.org/officeDocument/2006/customXml" ds:itemID="{0C3C83B1-E296-443C-90CD-99CFDD7A8181}"/>
</file>

<file path=docProps/app.xml><?xml version="1.0" encoding="utf-8"?>
<Properties xmlns="http://schemas.openxmlformats.org/officeDocument/2006/extended-properties" xmlns:vt="http://schemas.openxmlformats.org/officeDocument/2006/docPropsVTypes">
  <Template>Normal</Template>
  <TotalTime>31</TotalTime>
  <Pages>4</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ADK - Dat Le</cp:lastModifiedBy>
  <cp:revision>14</cp:revision>
  <dcterms:created xsi:type="dcterms:W3CDTF">2021-06-10T01:50:00Z</dcterms:created>
  <dcterms:modified xsi:type="dcterms:W3CDTF">2021-06-10T03:16:00Z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