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0F" w:rsidRDefault="008A110F">
      <w:pPr>
        <w:spacing w:after="0" w:line="252" w:lineRule="auto"/>
        <w:rPr>
          <w:rFonts w:ascii="Cambria" w:eastAsia="Cambria" w:hAnsi="Cambria" w:cs="Cambria"/>
          <w:b/>
        </w:rPr>
      </w:pPr>
      <w:bookmarkStart w:id="0" w:name="_xan5ieivos4j" w:colFirst="0" w:colLast="0"/>
      <w:bookmarkEnd w:id="0"/>
    </w:p>
    <w:p w:rsidR="008A110F" w:rsidRDefault="00B61E08">
      <w:pPr>
        <w:spacing w:after="0" w:line="252" w:lineRule="auto"/>
        <w:jc w:val="center"/>
        <w:rPr>
          <w:rFonts w:ascii="Cambria" w:eastAsia="Cambria" w:hAnsi="Cambria" w:cs="Cambria"/>
          <w:b/>
        </w:rPr>
      </w:pPr>
      <w:bookmarkStart w:id="1" w:name="_f1de6mza4okl" w:colFirst="0" w:colLast="0"/>
      <w:bookmarkEnd w:id="1"/>
      <w:r>
        <w:rPr>
          <w:rFonts w:ascii="Cambria" w:eastAsia="Cambria" w:hAnsi="Cambria" w:cs="Cambria"/>
          <w:b/>
        </w:rPr>
        <w:t>PROCEDURES FOR TRADEMARK TRANSFER WHEN THERE WAS PROTECTIVE CERTIFICATE</w:t>
      </w:r>
    </w:p>
    <w:p w:rsidR="008A110F" w:rsidRDefault="008A110F">
      <w:pPr>
        <w:spacing w:after="0" w:line="252" w:lineRule="auto"/>
        <w:rPr>
          <w:rFonts w:ascii="Cambria" w:eastAsia="Cambria" w:hAnsi="Cambria" w:cs="Cambria"/>
          <w:b/>
        </w:rPr>
      </w:pPr>
    </w:p>
    <w:p w:rsidR="008A110F" w:rsidRDefault="00B61E0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b/>
          <w:i/>
          <w:color w:val="333333"/>
          <w:sz w:val="23"/>
          <w:szCs w:val="23"/>
        </w:rPr>
      </w:pPr>
      <w:r>
        <w:rPr>
          <w:rFonts w:ascii="Cambria" w:eastAsia="Cambria" w:hAnsi="Cambria" w:cs="Cambria"/>
          <w:b/>
          <w:i/>
          <w:color w:val="333333"/>
          <w:sz w:val="23"/>
          <w:szCs w:val="23"/>
        </w:rPr>
        <w:t>Legal basis:</w:t>
      </w:r>
    </w:p>
    <w:p w:rsidR="008A110F" w:rsidRDefault="00B61E08">
      <w:pPr>
        <w:shd w:val="clear" w:color="auto" w:fill="FFFFFF"/>
        <w:spacing w:after="0" w:line="360" w:lineRule="auto"/>
        <w:ind w:right="225"/>
        <w:jc w:val="both"/>
        <w:rPr>
          <w:rFonts w:ascii="Cambria" w:eastAsia="Cambria" w:hAnsi="Cambria" w:cs="Cambria"/>
          <w:i/>
          <w:color w:val="333333"/>
          <w:sz w:val="23"/>
          <w:szCs w:val="23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i/>
          <w:color w:val="333333"/>
          <w:sz w:val="23"/>
          <w:szCs w:val="23"/>
        </w:rPr>
        <w:t>Intellectual Property Law 2005 to amend and supplement 2019</w:t>
      </w:r>
    </w:p>
    <w:p w:rsidR="008A110F" w:rsidRDefault="00B61E08">
      <w:pPr>
        <w:shd w:val="clear" w:color="auto" w:fill="FFFFFF"/>
        <w:spacing w:after="0" w:line="360" w:lineRule="auto"/>
        <w:ind w:right="225"/>
        <w:jc w:val="both"/>
        <w:rPr>
          <w:rFonts w:ascii="Cambria" w:eastAsia="Cambria" w:hAnsi="Cambria" w:cs="Cambria"/>
          <w:i/>
        </w:rPr>
      </w:pPr>
      <w:bookmarkStart w:id="3" w:name="_1fob9te" w:colFirst="0" w:colLast="0"/>
      <w:bookmarkEnd w:id="3"/>
      <w:r>
        <w:rPr>
          <w:rFonts w:ascii="Cambria" w:eastAsia="Cambria" w:hAnsi="Cambria" w:cs="Cambria"/>
          <w:i/>
        </w:rPr>
        <w:t>Circular 01/2007/TT-BKHN is amended and supplemented by Circular 16/2016/TT-BKHCN.</w:t>
      </w:r>
    </w:p>
    <w:p w:rsidR="008A110F" w:rsidRDefault="008A110F">
      <w:pPr>
        <w:spacing w:after="0" w:line="252" w:lineRule="auto"/>
        <w:rPr>
          <w:rFonts w:ascii="Cambria" w:eastAsia="Cambria" w:hAnsi="Cambria" w:cs="Cambria"/>
          <w:b/>
        </w:rPr>
      </w:pPr>
    </w:p>
    <w:p w:rsidR="008A110F" w:rsidRDefault="00B61E08">
      <w:pPr>
        <w:numPr>
          <w:ilvl w:val="0"/>
          <w:numId w:val="10"/>
        </w:num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What are </w:t>
      </w:r>
      <w:r w:rsidR="002F5886">
        <w:rPr>
          <w:rFonts w:ascii="Cambria" w:eastAsia="Cambria" w:hAnsi="Cambria" w:cs="Cambria"/>
          <w:b/>
        </w:rPr>
        <w:t>trademark transfers</w:t>
      </w:r>
      <w:r>
        <w:rPr>
          <w:rFonts w:ascii="Cambria" w:eastAsia="Cambria" w:hAnsi="Cambria" w:cs="Cambria"/>
          <w:b/>
        </w:rPr>
        <w:t>?</w:t>
      </w: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</w:p>
    <w:p w:rsidR="008A110F" w:rsidRDefault="00B61E08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is defined in Clause 1 Article 138 Intellectual Property Law 2005 to amend and supplement 2019 (“</w:t>
      </w:r>
      <w:r>
        <w:rPr>
          <w:rFonts w:ascii="Cambria" w:eastAsia="Cambria" w:hAnsi="Cambria" w:cs="Cambria"/>
          <w:b/>
        </w:rPr>
        <w:t xml:space="preserve">Intellectual Property Law”) </w:t>
      </w:r>
      <w:r>
        <w:rPr>
          <w:rFonts w:ascii="Cambria" w:eastAsia="Cambria" w:hAnsi="Cambria" w:cs="Cambria"/>
        </w:rPr>
        <w:t>as follows: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Trademark transfer is the transfer of ownership rights for other individuals and organ</w:t>
      </w:r>
      <w:r>
        <w:rPr>
          <w:rFonts w:ascii="Cambria" w:eastAsia="Cambria" w:hAnsi="Cambria" w:cs="Cambria"/>
        </w:rPr>
        <w:t>izations.</w:t>
      </w: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0"/>
        </w:numPr>
        <w:spacing w:after="0" w:line="252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How to transfer </w:t>
      </w:r>
      <w:r w:rsidR="002F5886">
        <w:rPr>
          <w:rFonts w:ascii="Cambria" w:eastAsia="Cambria" w:hAnsi="Cambria" w:cs="Cambria"/>
          <w:b/>
        </w:rPr>
        <w:t>a trademark</w:t>
      </w:r>
      <w:r>
        <w:rPr>
          <w:rFonts w:ascii="Cambria" w:eastAsia="Cambria" w:hAnsi="Cambria" w:cs="Cambria"/>
          <w:b/>
        </w:rPr>
        <w:t>?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According to the Intellectual Property Law, the transfer of trademark ownership must be </w:t>
      </w:r>
      <w:r>
        <w:rPr>
          <w:rFonts w:ascii="Cambria" w:eastAsia="Cambria" w:hAnsi="Cambria" w:cs="Cambria"/>
          <w:highlight w:val="white"/>
        </w:rPr>
        <w:t>established</w:t>
      </w:r>
      <w:r>
        <w:rPr>
          <w:rFonts w:ascii="Cambria" w:eastAsia="Cambria" w:hAnsi="Cambria" w:cs="Cambria"/>
        </w:rPr>
        <w:t xml:space="preserve"> in the form of a written contract (hereinafter referred to as the trademark transfer contract).</w:t>
      </w: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</w:p>
    <w:p w:rsidR="008A110F" w:rsidRDefault="00B61E08">
      <w:pPr>
        <w:numPr>
          <w:ilvl w:val="0"/>
          <w:numId w:val="10"/>
        </w:num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Are there any restrictions on trademark transfer?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According to Article 139 of the Intellectual Property Law, Conditions restricting the transfer of trademarks include:</w:t>
      </w: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7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Trademark owners may only assign their rights within the scope of protection;</w:t>
      </w:r>
    </w:p>
    <w:p w:rsidR="008A110F" w:rsidRDefault="008A110F">
      <w:pPr>
        <w:spacing w:after="0" w:line="252" w:lineRule="auto"/>
        <w:ind w:left="1440"/>
        <w:jc w:val="both"/>
      </w:pPr>
    </w:p>
    <w:p w:rsidR="008A110F" w:rsidRDefault="00B61E08">
      <w:pPr>
        <w:numPr>
          <w:ilvl w:val="0"/>
          <w:numId w:val="7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The tra</w:t>
      </w:r>
      <w:r>
        <w:rPr>
          <w:rFonts w:ascii="Cambria" w:eastAsia="Cambria" w:hAnsi="Cambria" w:cs="Cambria"/>
        </w:rPr>
        <w:t>nsfer of rights to trademark must not cause confusion about the characteristics and origin of goods or services bearing the trademark;</w:t>
      </w:r>
    </w:p>
    <w:p w:rsidR="008A110F" w:rsidRDefault="008A110F">
      <w:pPr>
        <w:spacing w:after="0" w:line="252" w:lineRule="auto"/>
        <w:jc w:val="both"/>
      </w:pPr>
    </w:p>
    <w:p w:rsidR="008A110F" w:rsidRDefault="00B61E08">
      <w:pPr>
        <w:numPr>
          <w:ilvl w:val="0"/>
          <w:numId w:val="7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Rights to label effects are transferable only to the organization, individuals who meet the conditions for trademark reg</w:t>
      </w:r>
      <w:r>
        <w:rPr>
          <w:rFonts w:ascii="Cambria" w:eastAsia="Cambria" w:hAnsi="Cambria" w:cs="Cambria"/>
        </w:rPr>
        <w:t>istration holders.</w:t>
      </w:r>
    </w:p>
    <w:p w:rsidR="008A110F" w:rsidRDefault="008A110F">
      <w:pPr>
        <w:spacing w:after="0" w:line="252" w:lineRule="auto"/>
        <w:jc w:val="both"/>
      </w:pP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</w:p>
    <w:p w:rsidR="008A110F" w:rsidRDefault="00B61E08">
      <w:pPr>
        <w:numPr>
          <w:ilvl w:val="0"/>
          <w:numId w:val="10"/>
        </w:num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What is the procedure for trademark transfer?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 Circular 01/2007/TT-BKHN the order and procedures for trademark transfer are as follows: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Step 1:</w:t>
      </w:r>
      <w:r>
        <w:rPr>
          <w:rFonts w:ascii="Cambria" w:eastAsia="Cambria" w:hAnsi="Cambria" w:cs="Cambria"/>
        </w:rPr>
        <w:t xml:space="preserve"> The parties agree and establish the trademark transfer contract.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Step 2:</w:t>
      </w:r>
      <w:r>
        <w:rPr>
          <w:rFonts w:ascii="Cambria" w:eastAsia="Cambria" w:hAnsi="Cambria" w:cs="Cambria"/>
        </w:rPr>
        <w:t xml:space="preserve"> Submit a set </w:t>
      </w:r>
      <w:r>
        <w:rPr>
          <w:rFonts w:ascii="Cambria" w:eastAsia="Cambria" w:hAnsi="Cambria" w:cs="Cambria"/>
        </w:rPr>
        <w:t>of transfer contract registration documents at the National Office of Intellectual Property to register the transfer contract.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Step 3:</w:t>
      </w:r>
      <w:r>
        <w:rPr>
          <w:rFonts w:ascii="Cambria" w:eastAsia="Cambria" w:hAnsi="Cambria" w:cs="Cambria"/>
        </w:rPr>
        <w:t xml:space="preserve"> The NOIP receives and processes the application for registration of a trademark transfer contract.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1"/>
        </w:numPr>
        <w:spacing w:after="0" w:line="252" w:lineRule="auto"/>
        <w:ind w:left="1418" w:hanging="709"/>
        <w:jc w:val="both"/>
      </w:pPr>
      <w:r>
        <w:rPr>
          <w:rFonts w:ascii="Cambria" w:eastAsia="Cambria" w:hAnsi="Cambria" w:cs="Cambria"/>
        </w:rPr>
        <w:t>In case the registration dossier is valid, the NOIP shall:</w:t>
      </w:r>
    </w:p>
    <w:p w:rsidR="008A110F" w:rsidRDefault="008A110F">
      <w:pPr>
        <w:spacing w:after="0" w:line="252" w:lineRule="auto"/>
        <w:ind w:left="720" w:firstLine="72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"/>
        </w:numPr>
        <w:spacing w:after="0" w:line="252" w:lineRule="auto"/>
        <w:ind w:left="2127" w:hanging="709"/>
        <w:jc w:val="both"/>
      </w:pPr>
      <w:r>
        <w:rPr>
          <w:rFonts w:ascii="Cambria" w:eastAsia="Cambria" w:hAnsi="Cambria" w:cs="Cambria"/>
        </w:rPr>
        <w:t>Make a decision to recognize the transfer of trademark ownership rights to individuals and organizations.</w:t>
      </w:r>
    </w:p>
    <w:p w:rsidR="008A110F" w:rsidRDefault="008A110F">
      <w:pPr>
        <w:spacing w:after="0"/>
        <w:ind w:left="720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"/>
        </w:numPr>
        <w:spacing w:after="0" w:line="252" w:lineRule="auto"/>
        <w:ind w:left="2160" w:hanging="720"/>
        <w:jc w:val="both"/>
      </w:pPr>
      <w:r>
        <w:rPr>
          <w:rFonts w:ascii="Cambria" w:eastAsia="Cambria" w:hAnsi="Cambria" w:cs="Cambria"/>
        </w:rPr>
        <w:t>Proceed to record in the new protective certificate, recognition of the transfer of owner</w:t>
      </w:r>
      <w:r>
        <w:rPr>
          <w:rFonts w:ascii="Cambria" w:eastAsia="Cambria" w:hAnsi="Cambria" w:cs="Cambria"/>
        </w:rPr>
        <w:t>ship rights to the trademark and National register of industrial property rights transfer.</w:t>
      </w:r>
    </w:p>
    <w:p w:rsidR="008A110F" w:rsidRDefault="008A110F">
      <w:pPr>
        <w:spacing w:after="0" w:line="252" w:lineRule="auto"/>
        <w:ind w:left="216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"/>
        </w:numPr>
        <w:spacing w:after="0" w:line="252" w:lineRule="auto"/>
        <w:ind w:left="2127" w:hanging="709"/>
        <w:jc w:val="both"/>
      </w:pPr>
      <w:r>
        <w:rPr>
          <w:rFonts w:ascii="Cambria" w:eastAsia="Cambria" w:hAnsi="Cambria" w:cs="Cambria"/>
        </w:rPr>
        <w:t>Announce the decision to recognize the transfer of industrial property rights on the Industrial Property Official Gazette within 2 months from the date of signing t</w:t>
      </w:r>
      <w:r>
        <w:rPr>
          <w:rFonts w:ascii="Cambria" w:eastAsia="Cambria" w:hAnsi="Cambria" w:cs="Cambria"/>
        </w:rPr>
        <w:t>he decision.</w:t>
      </w:r>
    </w:p>
    <w:p w:rsidR="008A110F" w:rsidRDefault="008A110F">
      <w:pPr>
        <w:spacing w:after="0" w:line="252" w:lineRule="auto"/>
        <w:ind w:left="720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1"/>
        </w:numPr>
        <w:spacing w:after="0" w:line="252" w:lineRule="auto"/>
        <w:ind w:left="1418" w:hanging="709"/>
        <w:jc w:val="both"/>
      </w:pPr>
      <w:r>
        <w:rPr>
          <w:rFonts w:ascii="Cambria" w:eastAsia="Cambria" w:hAnsi="Cambria" w:cs="Cambria"/>
        </w:rPr>
        <w:t>In case the registration dossier is invalid, the NOIP:</w:t>
      </w:r>
    </w:p>
    <w:p w:rsidR="008A110F" w:rsidRDefault="008A110F">
      <w:pPr>
        <w:spacing w:after="0" w:line="252" w:lineRule="auto"/>
        <w:ind w:left="1418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4"/>
        </w:numPr>
        <w:spacing w:after="0" w:line="252" w:lineRule="auto"/>
        <w:ind w:left="2127" w:hanging="709"/>
        <w:jc w:val="both"/>
      </w:pPr>
      <w:r>
        <w:rPr>
          <w:rFonts w:ascii="Cambria" w:eastAsia="Cambria" w:hAnsi="Cambria" w:cs="Cambria"/>
        </w:rPr>
        <w:t>Issue a notice of intention to refuse to sign the contract, highlight any deficiencies in the record. The applicant has a time limit of 2 months from the date of signing the notice to correct errors or give comments;</w:t>
      </w:r>
    </w:p>
    <w:p w:rsidR="008A110F" w:rsidRDefault="008A110F">
      <w:pPr>
        <w:spacing w:after="0" w:line="252" w:lineRule="auto"/>
        <w:ind w:left="2127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4"/>
        </w:numPr>
        <w:spacing w:after="0" w:line="252" w:lineRule="auto"/>
        <w:ind w:left="2127" w:hanging="709"/>
        <w:jc w:val="both"/>
      </w:pPr>
      <w:r>
        <w:rPr>
          <w:rFonts w:ascii="Cambria" w:eastAsia="Cambria" w:hAnsi="Cambria" w:cs="Cambria"/>
        </w:rPr>
        <w:t xml:space="preserve">Make a decision to refuse to sign the </w:t>
      </w:r>
      <w:r>
        <w:rPr>
          <w:rFonts w:ascii="Cambria" w:eastAsia="Cambria" w:hAnsi="Cambria" w:cs="Cambria"/>
        </w:rPr>
        <w:t>contract if the applicant does not correct or there is an error correction but not satisfactory or no other opinion.</w:t>
      </w: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A110F" w:rsidRDefault="008A110F">
      <w:pPr>
        <w:spacing w:after="0" w:line="252" w:lineRule="auto"/>
        <w:ind w:left="2127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0"/>
        </w:num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What does a trademark transfer dossier include?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Trademark Transfer Dossier are specified in Article 149 of the Law on Intellectual Prop</w:t>
      </w:r>
      <w:r>
        <w:rPr>
          <w:rFonts w:ascii="Cambria" w:eastAsia="Cambria" w:hAnsi="Cambria" w:cs="Cambria"/>
        </w:rPr>
        <w:t>erty, include: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20"/>
        <w:jc w:val="both"/>
      </w:pPr>
      <w:r>
        <w:rPr>
          <w:rFonts w:ascii="Cambria" w:eastAsia="Cambria" w:hAnsi="Cambria" w:cs="Cambria"/>
        </w:rPr>
        <w:t>The registration form according to the prescribed form;</w:t>
      </w:r>
    </w:p>
    <w:p w:rsidR="008A110F" w:rsidRDefault="008A110F">
      <w:pPr>
        <w:spacing w:after="0" w:line="252" w:lineRule="auto"/>
        <w:ind w:left="2160" w:hanging="72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20"/>
        <w:jc w:val="both"/>
      </w:pPr>
      <w:r>
        <w:rPr>
          <w:rFonts w:ascii="Cambria" w:eastAsia="Cambria" w:hAnsi="Cambria" w:cs="Cambria"/>
        </w:rPr>
        <w:t>The original or valid copy of the transfer contract;</w:t>
      </w:r>
    </w:p>
    <w:p w:rsidR="008A110F" w:rsidRDefault="008A110F">
      <w:pPr>
        <w:spacing w:after="0" w:line="252" w:lineRule="auto"/>
        <w:ind w:left="2160" w:hanging="72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20"/>
        <w:jc w:val="both"/>
      </w:pPr>
      <w:r>
        <w:rPr>
          <w:rFonts w:ascii="Cambria" w:eastAsia="Cambria" w:hAnsi="Cambria" w:cs="Cambria"/>
        </w:rPr>
        <w:t>The original of the protection certificate in case of transfer of industrial property rights;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20"/>
        <w:jc w:val="both"/>
      </w:pPr>
      <w:r>
        <w:rPr>
          <w:rFonts w:ascii="Cambria" w:eastAsia="Cambria" w:hAnsi="Cambria" w:cs="Cambria"/>
        </w:rPr>
        <w:t>The written consent of the co-owners, the written explanation of the reasons for the disagreement of any of the co-owners on the transfer of rights if the industrial property rights are jointly owned;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09"/>
        <w:jc w:val="both"/>
      </w:pPr>
      <w:r>
        <w:rPr>
          <w:rFonts w:ascii="Cambria" w:eastAsia="Cambria" w:hAnsi="Cambria" w:cs="Cambria"/>
        </w:rPr>
        <w:t>Proof of payment of fees and charges;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20"/>
        <w:jc w:val="both"/>
      </w:pPr>
      <w:r>
        <w:rPr>
          <w:rFonts w:ascii="Cambria" w:eastAsia="Cambria" w:hAnsi="Cambria" w:cs="Cambria"/>
        </w:rPr>
        <w:t>Power of attorn</w:t>
      </w:r>
      <w:r>
        <w:rPr>
          <w:rFonts w:ascii="Cambria" w:eastAsia="Cambria" w:hAnsi="Cambria" w:cs="Cambria"/>
        </w:rPr>
        <w:t>ey (if any).</w:t>
      </w:r>
    </w:p>
    <w:p w:rsidR="008A110F" w:rsidRDefault="008A110F">
      <w:pPr>
        <w:spacing w:after="0" w:line="252" w:lineRule="auto"/>
        <w:ind w:left="720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4"/>
        </w:numPr>
        <w:spacing w:after="0" w:line="252" w:lineRule="auto"/>
        <w:ind w:left="1418" w:hanging="720"/>
        <w:jc w:val="both"/>
      </w:pPr>
      <w:r>
        <w:rPr>
          <w:rFonts w:ascii="Cambria" w:eastAsia="Cambria" w:hAnsi="Cambria" w:cs="Cambria"/>
        </w:rPr>
        <w:t>For an application file for registration of a contract for assignment of a collective mark or a certification mark, in addition to the above documents, the following documents are required: (i) Regulations on the use of collective marks, regu</w:t>
      </w:r>
      <w:r>
        <w:rPr>
          <w:rFonts w:ascii="Cambria" w:eastAsia="Cambria" w:hAnsi="Cambria" w:cs="Cambria"/>
        </w:rPr>
        <w:t xml:space="preserve">lations the use of the transferee's certification mark in accordance with regulations; (ii) Documents </w:t>
      </w:r>
      <w:r>
        <w:rPr>
          <w:rFonts w:ascii="Cambria" w:eastAsia="Cambria" w:hAnsi="Cambria" w:cs="Cambria"/>
        </w:rPr>
        <w:lastRenderedPageBreak/>
        <w:t>proving the transferee's right to file an application for a certification mark or collective mark as prescribed.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10"/>
        </w:num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What are the contents of a trademark tra</w:t>
      </w:r>
      <w:r>
        <w:rPr>
          <w:rFonts w:ascii="Cambria" w:eastAsia="Cambria" w:hAnsi="Cambria" w:cs="Cambria"/>
          <w:b/>
        </w:rPr>
        <w:t>nsfer contract?</w:t>
      </w: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  <w:b/>
        </w:rPr>
      </w:pPr>
    </w:p>
    <w:p w:rsidR="008A110F" w:rsidRDefault="00B61E08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main contents of a trademark assignment contract are specified in Article 140 of the Intellectual Property Law, specifically:</w:t>
      </w:r>
    </w:p>
    <w:p w:rsidR="008A110F" w:rsidRDefault="008A110F">
      <w:pPr>
        <w:spacing w:after="0" w:line="252" w:lineRule="auto"/>
        <w:ind w:left="720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8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Full name and addresses of the assignor and assignee;</w:t>
      </w:r>
    </w:p>
    <w:p w:rsidR="008A110F" w:rsidRDefault="008A110F">
      <w:pPr>
        <w:spacing w:after="0" w:line="252" w:lineRule="auto"/>
        <w:ind w:left="1440"/>
        <w:jc w:val="both"/>
      </w:pPr>
    </w:p>
    <w:p w:rsidR="008A110F" w:rsidRDefault="00B61E08">
      <w:pPr>
        <w:numPr>
          <w:ilvl w:val="0"/>
          <w:numId w:val="8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Grounds for assignment;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8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Assignment price; and</w:t>
      </w:r>
    </w:p>
    <w:p w:rsidR="008A110F" w:rsidRDefault="008A110F">
      <w:pPr>
        <w:spacing w:after="0" w:line="252" w:lineRule="auto"/>
        <w:jc w:val="both"/>
        <w:rPr>
          <w:rFonts w:ascii="Cambria" w:eastAsia="Cambria" w:hAnsi="Cambria" w:cs="Cambria"/>
        </w:rPr>
      </w:pPr>
    </w:p>
    <w:p w:rsidR="008A110F" w:rsidRDefault="00B61E08">
      <w:pPr>
        <w:numPr>
          <w:ilvl w:val="0"/>
          <w:numId w:val="8"/>
        </w:numPr>
        <w:spacing w:after="0" w:line="252" w:lineRule="auto"/>
        <w:ind w:left="1440" w:hanging="720"/>
        <w:jc w:val="both"/>
      </w:pPr>
      <w:r>
        <w:rPr>
          <w:rFonts w:ascii="Cambria" w:eastAsia="Cambria" w:hAnsi="Cambria" w:cs="Cambria"/>
        </w:rPr>
        <w:t>Rights and obligations of the assignor and assignee.</w:t>
      </w:r>
    </w:p>
    <w:p w:rsidR="008A110F" w:rsidRDefault="008A110F">
      <w:pPr>
        <w:spacing w:after="0" w:line="252" w:lineRule="auto"/>
        <w:jc w:val="both"/>
      </w:pPr>
    </w:p>
    <w:p w:rsidR="008A110F" w:rsidRDefault="00B61E08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 addition, the parties may agree on other terms that are not contrary to the provisions of law.</w:t>
      </w:r>
    </w:p>
    <w:p w:rsidR="008A110F" w:rsidRDefault="008A110F">
      <w:pPr>
        <w:spacing w:after="0" w:line="252" w:lineRule="auto"/>
        <w:ind w:left="709"/>
        <w:jc w:val="both"/>
        <w:rPr>
          <w:rFonts w:ascii="Cambria" w:eastAsia="Cambria" w:hAnsi="Cambria" w:cs="Cambria"/>
        </w:rPr>
      </w:pPr>
    </w:p>
    <w:p w:rsidR="008A110F" w:rsidRDefault="00B61E08">
      <w:pPr>
        <w:spacing w:after="0" w:line="25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Above are some basic contents related to procedures for trademark transfer when there was a protective </w:t>
      </w:r>
      <w:r w:rsidR="002F5886">
        <w:rPr>
          <w:rFonts w:ascii="Cambria" w:eastAsia="Cambria" w:hAnsi="Cambria" w:cs="Cambria"/>
        </w:rPr>
        <w:t>certificate.</w:t>
      </w:r>
    </w:p>
    <w:p w:rsidR="002F5886" w:rsidRDefault="002F5886">
      <w:pPr>
        <w:spacing w:after="0" w:line="252" w:lineRule="auto"/>
        <w:jc w:val="right"/>
        <w:rPr>
          <w:rFonts w:ascii="Cambria" w:eastAsia="Cambria" w:hAnsi="Cambria" w:cs="Cambria"/>
          <w:b/>
          <w:i/>
        </w:rPr>
      </w:pPr>
    </w:p>
    <w:p w:rsidR="008A110F" w:rsidRDefault="00B61E08">
      <w:pPr>
        <w:spacing w:after="0" w:line="252" w:lineRule="auto"/>
        <w:jc w:val="right"/>
        <w:rPr>
          <w:rFonts w:ascii="Cambria" w:eastAsia="Cambria" w:hAnsi="Cambria" w:cs="Cambria"/>
          <w:b/>
          <w:i/>
        </w:rPr>
      </w:pPr>
      <w:bookmarkStart w:id="4" w:name="_GoBack"/>
      <w:bookmarkEnd w:id="4"/>
      <w:r>
        <w:rPr>
          <w:rFonts w:ascii="Cambria" w:eastAsia="Cambria" w:hAnsi="Cambria" w:cs="Cambria"/>
          <w:b/>
          <w:i/>
        </w:rPr>
        <w:t>ADK &amp; Co Vietnam Lawyers Law Firm</w:t>
      </w:r>
    </w:p>
    <w:p w:rsidR="008A110F" w:rsidRDefault="008A110F">
      <w:pPr>
        <w:spacing w:after="0" w:line="252" w:lineRule="auto"/>
        <w:rPr>
          <w:rFonts w:ascii="Cambria" w:eastAsia="Cambria" w:hAnsi="Cambria" w:cs="Cambria"/>
        </w:rPr>
      </w:pPr>
    </w:p>
    <w:sectPr w:rsidR="008A110F">
      <w:headerReference w:type="default" r:id="rId7"/>
      <w:footerReference w:type="default" r:id="rId8"/>
      <w:pgSz w:w="11907" w:h="16840"/>
      <w:pgMar w:top="1134" w:right="1134" w:bottom="1134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08" w:rsidRDefault="00B61E08">
      <w:pPr>
        <w:spacing w:after="0" w:line="240" w:lineRule="auto"/>
      </w:pPr>
      <w:r>
        <w:separator/>
      </w:r>
    </w:p>
  </w:endnote>
  <w:endnote w:type="continuationSeparator" w:id="0">
    <w:p w:rsidR="00B61E08" w:rsidRDefault="00B6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0F" w:rsidRDefault="00B61E08"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1" w:color="808080"/>
      </w:pBdr>
      <w:tabs>
        <w:tab w:val="center" w:pos="4590"/>
        <w:tab w:val="left" w:pos="8730"/>
        <w:tab w:val="left" w:pos="13770"/>
      </w:tabs>
      <w:spacing w:after="0" w:line="264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>ADK &amp; Co Vietnam Lawyers</w:t>
    </w:r>
  </w:p>
  <w:p w:rsidR="008A110F" w:rsidRDefault="00B61E08"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1" w:color="808080"/>
      </w:pBdr>
      <w:tabs>
        <w:tab w:val="center" w:pos="5529"/>
        <w:tab w:val="left" w:pos="8730"/>
        <w:tab w:val="left" w:pos="13770"/>
      </w:tabs>
      <w:spacing w:after="0" w:line="264" w:lineRule="auto"/>
      <w:jc w:val="right"/>
      <w:rPr>
        <w:rFonts w:ascii="Palatino Linotype" w:eastAsia="Palatino Linotype" w:hAnsi="Palatino Linotype" w:cs="Palatino Linotype"/>
        <w:sz w:val="18"/>
        <w:szCs w:val="18"/>
      </w:rPr>
    </w:pPr>
    <w:hyperlink r:id="rId1">
      <w:r>
        <w:rPr>
          <w:rFonts w:ascii="Palatino Linotype" w:eastAsia="Palatino Linotype" w:hAnsi="Palatino Linotype" w:cs="Palatino Linotype"/>
          <w:color w:val="0563C1"/>
          <w:sz w:val="18"/>
          <w:szCs w:val="18"/>
          <w:u w:val="single"/>
        </w:rPr>
        <w:t>www.adk-lawyers.com</w:t>
      </w:r>
    </w:hyperlink>
    <w:r>
      <w:rPr>
        <w:rFonts w:ascii="Palatino Linotype" w:eastAsia="Palatino Linotype" w:hAnsi="Palatino Linotype" w:cs="Palatino Linotype"/>
        <w:b/>
        <w:sz w:val="18"/>
        <w:szCs w:val="18"/>
      </w:rPr>
      <w:tab/>
    </w:r>
    <w:r>
      <w:rPr>
        <w:rFonts w:ascii="Palatino Linotype" w:eastAsia="Palatino Linotype" w:hAnsi="Palatino Linotype" w:cs="Palatino Linotype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sz w:val="18"/>
        <w:szCs w:val="18"/>
      </w:rPr>
      <w:instrText>PAGE</w:instrText>
    </w:r>
    <w:r w:rsidR="002F5886">
      <w:rPr>
        <w:rFonts w:ascii="Palatino Linotype" w:eastAsia="Palatino Linotype" w:hAnsi="Palatino Linotype" w:cs="Palatino Linotype"/>
        <w:sz w:val="18"/>
        <w:szCs w:val="18"/>
      </w:rPr>
      <w:fldChar w:fldCharType="separate"/>
    </w:r>
    <w:r w:rsidR="002F5886">
      <w:rPr>
        <w:rFonts w:ascii="Palatino Linotype" w:eastAsia="Palatino Linotype" w:hAnsi="Palatino Linotype" w:cs="Palatino Linotype"/>
        <w:noProof/>
        <w:sz w:val="18"/>
        <w:szCs w:val="18"/>
      </w:rPr>
      <w:t>3</w:t>
    </w:r>
    <w:r>
      <w:rPr>
        <w:rFonts w:ascii="Palatino Linotype" w:eastAsia="Palatino Linotype" w:hAnsi="Palatino Linotype" w:cs="Palatino Linotype"/>
        <w:sz w:val="18"/>
        <w:szCs w:val="18"/>
      </w:rPr>
      <w:fldChar w:fldCharType="end"/>
    </w:r>
    <w:r>
      <w:rPr>
        <w:rFonts w:ascii="Palatino Linotype" w:eastAsia="Palatino Linotype" w:hAnsi="Palatino Linotype" w:cs="Palatino Linotype"/>
        <w:sz w:val="18"/>
        <w:szCs w:val="18"/>
      </w:rPr>
      <w:t>/</w:t>
    </w:r>
    <w:r>
      <w:rPr>
        <w:rFonts w:ascii="Palatino Linotype" w:eastAsia="Palatino Linotype" w:hAnsi="Palatino Linotype" w:cs="Palatino Linotype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sz w:val="18"/>
        <w:szCs w:val="18"/>
      </w:rPr>
      <w:instrText>NUMPAGES</w:instrText>
    </w:r>
    <w:r w:rsidR="002F5886">
      <w:rPr>
        <w:rFonts w:ascii="Palatino Linotype" w:eastAsia="Palatino Linotype" w:hAnsi="Palatino Linotype" w:cs="Palatino Linotype"/>
        <w:sz w:val="18"/>
        <w:szCs w:val="18"/>
      </w:rPr>
      <w:fldChar w:fldCharType="separate"/>
    </w:r>
    <w:r w:rsidR="002F5886">
      <w:rPr>
        <w:rFonts w:ascii="Palatino Linotype" w:eastAsia="Palatino Linotype" w:hAnsi="Palatino Linotype" w:cs="Palatino Linotype"/>
        <w:noProof/>
        <w:sz w:val="18"/>
        <w:szCs w:val="18"/>
      </w:rPr>
      <w:t>3</w:t>
    </w:r>
    <w:r>
      <w:rPr>
        <w:rFonts w:ascii="Palatino Linotype" w:eastAsia="Palatino Linotype" w:hAnsi="Palatino Linotype" w:cs="Palatino Linotype"/>
        <w:sz w:val="18"/>
        <w:szCs w:val="18"/>
      </w:rPr>
      <w:fldChar w:fldCharType="end"/>
    </w:r>
  </w:p>
  <w:p w:rsidR="008A110F" w:rsidRDefault="008A11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rPr>
        <w:color w:val="000000"/>
      </w:rPr>
    </w:pPr>
  </w:p>
  <w:p w:rsidR="008A110F" w:rsidRDefault="008A11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08" w:rsidRDefault="00B61E08">
      <w:pPr>
        <w:spacing w:after="0" w:line="240" w:lineRule="auto"/>
      </w:pPr>
      <w:r>
        <w:separator/>
      </w:r>
    </w:p>
  </w:footnote>
  <w:footnote w:type="continuationSeparator" w:id="0">
    <w:p w:rsidR="00B61E08" w:rsidRDefault="00B6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0F" w:rsidRDefault="00B61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rPr>
        <w:color w:val="000000"/>
      </w:rPr>
    </w:pPr>
    <w:r>
      <w:rPr>
        <w:noProof/>
        <w:color w:val="000000"/>
      </w:rPr>
      <w:drawing>
        <wp:inline distT="0" distB="0" distL="0" distR="0">
          <wp:extent cx="7769362" cy="1481392"/>
          <wp:effectExtent l="0" t="0" r="0" b="0"/>
          <wp:docPr id="1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 t="29820" b="30292"/>
                  <a:stretch>
                    <a:fillRect/>
                  </a:stretch>
                </pic:blipFill>
                <pic:spPr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0425"/>
    <w:multiLevelType w:val="multilevel"/>
    <w:tmpl w:val="65447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6BFA"/>
    <w:multiLevelType w:val="multilevel"/>
    <w:tmpl w:val="293C70E0"/>
    <w:lvl w:ilvl="0">
      <w:start w:val="1"/>
      <w:numFmt w:val="bullet"/>
      <w:lvlText w:val="-"/>
      <w:lvlJc w:val="left"/>
      <w:pPr>
        <w:ind w:left="25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DB7F72"/>
    <w:multiLevelType w:val="multilevel"/>
    <w:tmpl w:val="FBA6D4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1E6825"/>
    <w:multiLevelType w:val="multilevel"/>
    <w:tmpl w:val="53B6F5FC"/>
    <w:lvl w:ilvl="0">
      <w:start w:val="1"/>
      <w:numFmt w:val="bullet"/>
      <w:lvlText w:val="-"/>
      <w:lvlJc w:val="left"/>
      <w:pPr>
        <w:ind w:left="25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BD5E54"/>
    <w:multiLevelType w:val="multilevel"/>
    <w:tmpl w:val="2BA6F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A16068"/>
    <w:multiLevelType w:val="multilevel"/>
    <w:tmpl w:val="7B8413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B97517"/>
    <w:multiLevelType w:val="multilevel"/>
    <w:tmpl w:val="6A5EF97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87772A"/>
    <w:multiLevelType w:val="multilevel"/>
    <w:tmpl w:val="C7800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270DF8"/>
    <w:multiLevelType w:val="multilevel"/>
    <w:tmpl w:val="4E162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5B1E"/>
    <w:multiLevelType w:val="multilevel"/>
    <w:tmpl w:val="CC462ED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72A64F2"/>
    <w:multiLevelType w:val="multilevel"/>
    <w:tmpl w:val="E66EC96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D7EE7"/>
    <w:multiLevelType w:val="multilevel"/>
    <w:tmpl w:val="7D6C0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122854"/>
    <w:multiLevelType w:val="multilevel"/>
    <w:tmpl w:val="BF56D31A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4B71B4"/>
    <w:multiLevelType w:val="multilevel"/>
    <w:tmpl w:val="A378D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0F"/>
    <w:rsid w:val="002F5886"/>
    <w:rsid w:val="008A110F"/>
    <w:rsid w:val="00B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4F495-81CE-41C7-A821-FC5703FC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2021-08-02T13:56:00Z</dcterms:created>
  <dcterms:modified xsi:type="dcterms:W3CDTF">2021-08-02T13:57:00Z</dcterms:modified>
</cp:coreProperties>
</file>