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91770" w14:textId="77777777" w:rsidR="00A24AB1" w:rsidRPr="00122550" w:rsidRDefault="00A24AB1" w:rsidP="00122550">
      <w:pPr>
        <w:spacing w:line="276" w:lineRule="auto"/>
        <w:jc w:val="both"/>
        <w:rPr>
          <w:rFonts w:ascii="Amasis MT Pro" w:hAnsi="Amasis MT Pro"/>
        </w:rPr>
      </w:pPr>
    </w:p>
    <w:p w14:paraId="009E20B2" w14:textId="299D0FDC" w:rsidR="00A71DDA" w:rsidRPr="00122550" w:rsidRDefault="009935EA" w:rsidP="00122550">
      <w:pPr>
        <w:spacing w:after="0" w:line="276" w:lineRule="auto"/>
        <w:jc w:val="center"/>
        <w:rPr>
          <w:rFonts w:ascii="Amasis MT Pro" w:hAnsi="Amasis MT Pro"/>
          <w:b/>
          <w:bCs/>
        </w:rPr>
      </w:pPr>
      <w:r w:rsidRPr="00122550">
        <w:rPr>
          <w:rFonts w:ascii="Amasis MT Pro" w:hAnsi="Amasis MT Pro"/>
          <w:b/>
          <w:bCs/>
        </w:rPr>
        <w:t>TAX INCENTIVES</w:t>
      </w:r>
      <w:r w:rsidR="00A71DDA" w:rsidRPr="00122550">
        <w:rPr>
          <w:rFonts w:ascii="Amasis MT Pro" w:hAnsi="Amasis MT Pro"/>
          <w:b/>
          <w:bCs/>
        </w:rPr>
        <w:t xml:space="preserve"> AND APPLICATION CONDITIONS</w:t>
      </w:r>
    </w:p>
    <w:p w14:paraId="3EEEECF7" w14:textId="520E53A6" w:rsidR="00A71DDA" w:rsidRPr="00122550" w:rsidRDefault="00A71DDA" w:rsidP="00122550">
      <w:pPr>
        <w:spacing w:after="0" w:line="276" w:lineRule="auto"/>
        <w:jc w:val="center"/>
        <w:rPr>
          <w:rFonts w:ascii="Amasis MT Pro" w:hAnsi="Amasis MT Pro"/>
          <w:b/>
          <w:bCs/>
        </w:rPr>
      </w:pPr>
      <w:r w:rsidRPr="00122550">
        <w:rPr>
          <w:rFonts w:ascii="Amasis MT Pro" w:hAnsi="Amasis MT Pro"/>
          <w:b/>
          <w:bCs/>
        </w:rPr>
        <w:t xml:space="preserve">FOR </w:t>
      </w:r>
      <w:r w:rsidR="00A97C9A" w:rsidRPr="00122550">
        <w:rPr>
          <w:rFonts w:ascii="Amasis MT Pro" w:hAnsi="Amasis MT Pro"/>
          <w:b/>
          <w:bCs/>
        </w:rPr>
        <w:t xml:space="preserve">TECHNOLOGY </w:t>
      </w:r>
      <w:r w:rsidR="008449C2" w:rsidRPr="00122550">
        <w:rPr>
          <w:rFonts w:ascii="Amasis MT Pro" w:hAnsi="Amasis MT Pro"/>
          <w:b/>
          <w:bCs/>
        </w:rPr>
        <w:t>ENTERPRISES</w:t>
      </w:r>
      <w:r w:rsidR="00314006">
        <w:rPr>
          <w:rFonts w:ascii="Amasis MT Pro" w:hAnsi="Amasis MT Pro"/>
          <w:b/>
          <w:bCs/>
        </w:rPr>
        <w:t xml:space="preserve"> </w:t>
      </w:r>
      <w:r w:rsidRPr="00122550">
        <w:rPr>
          <w:rFonts w:ascii="Amasis MT Pro" w:hAnsi="Amasis MT Pro"/>
          <w:b/>
          <w:bCs/>
        </w:rPr>
        <w:t>IN VIETNAM</w:t>
      </w:r>
    </w:p>
    <w:p w14:paraId="10FE3F3D" w14:textId="77777777" w:rsidR="00174831" w:rsidRPr="00122550" w:rsidRDefault="00174831" w:rsidP="00122550">
      <w:pPr>
        <w:spacing w:line="276" w:lineRule="auto"/>
        <w:jc w:val="both"/>
        <w:rPr>
          <w:rFonts w:ascii="Amasis MT Pro" w:hAnsi="Amasis MT Pro"/>
        </w:rPr>
      </w:pPr>
    </w:p>
    <w:p w14:paraId="3BA788FC" w14:textId="77777777" w:rsidR="00267DF4" w:rsidRDefault="00A71DDA" w:rsidP="00267DF4">
      <w:pPr>
        <w:spacing w:line="276" w:lineRule="auto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In order to </w:t>
      </w:r>
      <w:r w:rsidR="008449C2" w:rsidRPr="00122550">
        <w:rPr>
          <w:rFonts w:ascii="Amasis MT Pro" w:hAnsi="Amasis MT Pro"/>
        </w:rPr>
        <w:t xml:space="preserve">grasp </w:t>
      </w:r>
      <w:r w:rsidRPr="00122550">
        <w:rPr>
          <w:rFonts w:ascii="Amasis MT Pro" w:hAnsi="Amasis MT Pro"/>
        </w:rPr>
        <w:t>opportunities in the</w:t>
      </w:r>
      <w:r w:rsidR="008449C2" w:rsidRPr="00122550">
        <w:rPr>
          <w:rFonts w:ascii="Amasis MT Pro" w:hAnsi="Amasis MT Pro"/>
        </w:rPr>
        <w:t xml:space="preserve"> current</w:t>
      </w:r>
      <w:r w:rsidRPr="00122550">
        <w:rPr>
          <w:rFonts w:ascii="Amasis MT Pro" w:hAnsi="Amasis MT Pro"/>
        </w:rPr>
        <w:t xml:space="preserve"> of industrial revolution 4.0, create motivation to promote and encourage </w:t>
      </w:r>
      <w:r w:rsidR="008449C2" w:rsidRPr="00122550">
        <w:rPr>
          <w:rFonts w:ascii="Amasis MT Pro" w:hAnsi="Amasis MT Pro"/>
        </w:rPr>
        <w:t>the enterprises</w:t>
      </w:r>
      <w:r w:rsidRPr="00122550">
        <w:rPr>
          <w:rFonts w:ascii="Amasis MT Pro" w:hAnsi="Amasis MT Pro"/>
        </w:rPr>
        <w:t xml:space="preserve"> to increase investment in technology fields, Vietnam has regulations on tax incentives for</w:t>
      </w:r>
      <w:r w:rsidR="008449C2" w:rsidRPr="00122550">
        <w:rPr>
          <w:rFonts w:ascii="Amasis MT Pro" w:hAnsi="Amasis MT Pro"/>
        </w:rPr>
        <w:t xml:space="preserve"> the </w:t>
      </w:r>
      <w:r w:rsidR="00733F64">
        <w:rPr>
          <w:rFonts w:ascii="Amasis MT Pro" w:hAnsi="Amasis MT Pro"/>
        </w:rPr>
        <w:t>E</w:t>
      </w:r>
      <w:r w:rsidR="008449C2" w:rsidRPr="00122550">
        <w:rPr>
          <w:rFonts w:ascii="Amasis MT Pro" w:hAnsi="Amasis MT Pro"/>
        </w:rPr>
        <w:t>nterprises</w:t>
      </w:r>
      <w:r w:rsidRPr="00122550">
        <w:rPr>
          <w:rFonts w:ascii="Amasis MT Pro" w:hAnsi="Amasis MT Pro"/>
        </w:rPr>
        <w:t xml:space="preserve"> </w:t>
      </w:r>
      <w:r w:rsidR="0090342A">
        <w:rPr>
          <w:rFonts w:ascii="Amasis MT Pro" w:hAnsi="Amasis MT Pro"/>
        </w:rPr>
        <w:t xml:space="preserve">in </w:t>
      </w:r>
      <w:r w:rsidRPr="00122550">
        <w:rPr>
          <w:rFonts w:ascii="Amasis MT Pro" w:hAnsi="Amasis MT Pro"/>
        </w:rPr>
        <w:t xml:space="preserve">information technology </w:t>
      </w:r>
      <w:r w:rsidR="0090342A">
        <w:rPr>
          <w:rFonts w:ascii="Amasis MT Pro" w:hAnsi="Amasis MT Pro"/>
        </w:rPr>
        <w:t>field</w:t>
      </w:r>
      <w:r w:rsidRPr="00122550">
        <w:rPr>
          <w:rFonts w:ascii="Amasis MT Pro" w:hAnsi="Amasis MT Pro"/>
        </w:rPr>
        <w:t>.</w:t>
      </w:r>
    </w:p>
    <w:p w14:paraId="14900960" w14:textId="77777777" w:rsidR="00267DF4" w:rsidRDefault="00A71DDA" w:rsidP="00267DF4">
      <w:pPr>
        <w:spacing w:line="276" w:lineRule="auto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Software </w:t>
      </w:r>
      <w:r w:rsidR="00314006">
        <w:rPr>
          <w:rFonts w:ascii="Amasis MT Pro" w:hAnsi="Amasis MT Pro"/>
        </w:rPr>
        <w:t>e</w:t>
      </w:r>
      <w:r w:rsidR="008449C2" w:rsidRPr="00122550">
        <w:rPr>
          <w:rFonts w:ascii="Amasis MT Pro" w:hAnsi="Amasis MT Pro"/>
        </w:rPr>
        <w:t xml:space="preserve">nterprises manufacturing </w:t>
      </w:r>
      <w:r w:rsidR="00FC368E">
        <w:rPr>
          <w:rFonts w:ascii="Amasis MT Pro" w:hAnsi="Amasis MT Pro"/>
        </w:rPr>
        <w:t>s</w:t>
      </w:r>
      <w:r w:rsidR="008449C2" w:rsidRPr="00122550">
        <w:rPr>
          <w:rFonts w:ascii="Amasis MT Pro" w:hAnsi="Amasis MT Pro"/>
        </w:rPr>
        <w:t>oftware</w:t>
      </w:r>
      <w:r w:rsidRPr="00122550">
        <w:rPr>
          <w:rFonts w:ascii="Amasis MT Pro" w:hAnsi="Amasis MT Pro"/>
        </w:rPr>
        <w:t xml:space="preserve">, since </w:t>
      </w:r>
      <w:r w:rsidR="008449C2" w:rsidRPr="00122550">
        <w:rPr>
          <w:rFonts w:ascii="Amasis MT Pro" w:hAnsi="Amasis MT Pro"/>
        </w:rPr>
        <w:t>it was established</w:t>
      </w:r>
      <w:r w:rsidRPr="00122550">
        <w:rPr>
          <w:rFonts w:ascii="Amasis MT Pro" w:hAnsi="Amasis MT Pro"/>
        </w:rPr>
        <w:t xml:space="preserve">, </w:t>
      </w:r>
      <w:r w:rsidR="00A21BFC">
        <w:rPr>
          <w:rFonts w:ascii="Amasis MT Pro" w:hAnsi="Amasis MT Pro"/>
        </w:rPr>
        <w:t>have been entitled</w:t>
      </w:r>
      <w:r w:rsidR="00FC368E">
        <w:rPr>
          <w:rFonts w:ascii="Amasis MT Pro" w:hAnsi="Amasis MT Pro"/>
        </w:rPr>
        <w:t>:</w:t>
      </w:r>
    </w:p>
    <w:p w14:paraId="6CF70B28" w14:textId="74C4762C" w:rsidR="00A24A8E" w:rsidRPr="00267DF4" w:rsidRDefault="00A24A8E" w:rsidP="00267DF4">
      <w:pPr>
        <w:pStyle w:val="ListParagraph"/>
        <w:numPr>
          <w:ilvl w:val="0"/>
          <w:numId w:val="16"/>
        </w:numPr>
        <w:spacing w:line="276" w:lineRule="auto"/>
        <w:ind w:hanging="720"/>
        <w:jc w:val="both"/>
        <w:rPr>
          <w:rFonts w:ascii="Amasis MT Pro" w:hAnsi="Amasis MT Pro"/>
        </w:rPr>
      </w:pPr>
      <w:r w:rsidRPr="00267DF4">
        <w:rPr>
          <w:rFonts w:ascii="Amasis MT Pro" w:hAnsi="Amasis MT Pro"/>
          <w:b/>
          <w:bCs/>
          <w:u w:val="single"/>
        </w:rPr>
        <w:t>Value Added Tax (VAT)</w:t>
      </w:r>
    </w:p>
    <w:p w14:paraId="7F763ED5" w14:textId="0D921F9A" w:rsidR="00A24A8E" w:rsidRPr="00122550" w:rsidRDefault="00A24A8E" w:rsidP="00122550">
      <w:pPr>
        <w:spacing w:line="276" w:lineRule="auto"/>
        <w:ind w:firstLine="720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According to Article 4, Clause 21 of Circular 219/2013/TT-BTC on </w:t>
      </w:r>
      <w:r w:rsidR="004B0C04">
        <w:rPr>
          <w:rFonts w:ascii="Amasis MT Pro" w:hAnsi="Amasis MT Pro"/>
        </w:rPr>
        <w:t>o</w:t>
      </w:r>
      <w:r w:rsidR="00AA63F1">
        <w:rPr>
          <w:rFonts w:ascii="Amasis MT Pro" w:hAnsi="Amasis MT Pro"/>
        </w:rPr>
        <w:t xml:space="preserve">bjects </w:t>
      </w:r>
      <w:r w:rsidRPr="00122550">
        <w:rPr>
          <w:rFonts w:ascii="Amasis MT Pro" w:hAnsi="Amasis MT Pro"/>
        </w:rPr>
        <w:t>not subject to VAT:</w:t>
      </w:r>
    </w:p>
    <w:p w14:paraId="507C7D0F" w14:textId="77777777" w:rsidR="00267DF4" w:rsidRDefault="003D224F" w:rsidP="00267DF4">
      <w:pPr>
        <w:spacing w:line="276" w:lineRule="auto"/>
        <w:ind w:left="709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>“Technology transfer in accordance with Law on</w:t>
      </w:r>
      <w:r w:rsidR="00122550">
        <w:rPr>
          <w:rFonts w:ascii="Amasis MT Pro" w:hAnsi="Amasis MT Pro"/>
        </w:rPr>
        <w:t xml:space="preserve"> </w:t>
      </w:r>
      <w:r w:rsidRPr="00122550">
        <w:rPr>
          <w:rFonts w:ascii="Amasis MT Pro" w:hAnsi="Amasis MT Pro"/>
        </w:rPr>
        <w:t xml:space="preserve">Technology </w:t>
      </w:r>
      <w:r w:rsidR="0090342A">
        <w:rPr>
          <w:rFonts w:ascii="Amasis MT Pro" w:hAnsi="Amasis MT Pro"/>
        </w:rPr>
        <w:t>t</w:t>
      </w:r>
      <w:r w:rsidRPr="00122550">
        <w:rPr>
          <w:rFonts w:ascii="Amasis MT Pro" w:hAnsi="Amasis MT Pro"/>
        </w:rPr>
        <w:t xml:space="preserve">ransfer; intellectual property right </w:t>
      </w:r>
      <w:r w:rsidR="0090342A">
        <w:rPr>
          <w:rFonts w:ascii="Amasis MT Pro" w:hAnsi="Amasis MT Pro"/>
        </w:rPr>
        <w:t xml:space="preserve">transfer </w:t>
      </w:r>
      <w:r w:rsidRPr="00122550">
        <w:rPr>
          <w:rFonts w:ascii="Amasis MT Pro" w:hAnsi="Amasis MT Pro"/>
        </w:rPr>
        <w:t>in accordance with the provisions of the Intellectual Property Law. In case the technology transfer</w:t>
      </w:r>
      <w:r w:rsidR="0090342A">
        <w:rPr>
          <w:rFonts w:ascii="Amasis MT Pro" w:hAnsi="Amasis MT Pro"/>
        </w:rPr>
        <w:t>,</w:t>
      </w:r>
      <w:r w:rsidRPr="00122550">
        <w:rPr>
          <w:rFonts w:ascii="Amasis MT Pro" w:hAnsi="Amasis MT Pro"/>
        </w:rPr>
        <w:t xml:space="preserve"> intellectual property right </w:t>
      </w:r>
      <w:r w:rsidR="0090342A" w:rsidRPr="0090342A">
        <w:rPr>
          <w:rFonts w:ascii="Amasis MT Pro" w:hAnsi="Amasis MT Pro"/>
        </w:rPr>
        <w:t xml:space="preserve">transfer contract </w:t>
      </w:r>
      <w:r w:rsidRPr="00122550">
        <w:rPr>
          <w:rFonts w:ascii="Amasis MT Pro" w:hAnsi="Amasis MT Pro"/>
        </w:rPr>
        <w:t>is attached to machinery and equipment</w:t>
      </w:r>
      <w:r w:rsidR="0090342A">
        <w:rPr>
          <w:rFonts w:ascii="Amasis MT Pro" w:hAnsi="Amasis MT Pro"/>
        </w:rPr>
        <w:t xml:space="preserve"> transfer</w:t>
      </w:r>
      <w:r w:rsidRPr="00122550">
        <w:rPr>
          <w:rFonts w:ascii="Amasis MT Pro" w:hAnsi="Amasis MT Pro"/>
        </w:rPr>
        <w:t xml:space="preserve">, the object </w:t>
      </w:r>
      <w:r w:rsidR="0090342A">
        <w:rPr>
          <w:rFonts w:ascii="Amasis MT Pro" w:hAnsi="Amasis MT Pro"/>
        </w:rPr>
        <w:t xml:space="preserve">being </w:t>
      </w:r>
      <w:r w:rsidRPr="00122550">
        <w:rPr>
          <w:rFonts w:ascii="Amasis MT Pro" w:hAnsi="Amasis MT Pro"/>
        </w:rPr>
        <w:t xml:space="preserve">not subject to </w:t>
      </w:r>
      <w:r w:rsidR="00A21BFC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>VAT calculated on the value of technology</w:t>
      </w:r>
      <w:r w:rsidR="00CD4BB9" w:rsidRPr="00122550">
        <w:rPr>
          <w:rFonts w:ascii="Amasis MT Pro" w:hAnsi="Amasis MT Pro"/>
        </w:rPr>
        <w:t>,</w:t>
      </w:r>
      <w:r w:rsidRPr="00122550">
        <w:rPr>
          <w:rFonts w:ascii="Amasis MT Pro" w:hAnsi="Amasis MT Pro"/>
        </w:rPr>
        <w:t xml:space="preserve"> </w:t>
      </w:r>
      <w:r w:rsidR="00CD4BB9" w:rsidRPr="00122550">
        <w:rPr>
          <w:rFonts w:ascii="Amasis MT Pro" w:hAnsi="Amasis MT Pro"/>
        </w:rPr>
        <w:t xml:space="preserve">transferred and concessive </w:t>
      </w:r>
      <w:r w:rsidRPr="00122550">
        <w:rPr>
          <w:rFonts w:ascii="Amasis MT Pro" w:hAnsi="Amasis MT Pro"/>
        </w:rPr>
        <w:t xml:space="preserve">intellectual property rights; In case </w:t>
      </w:r>
      <w:r w:rsidR="00CD4BB9" w:rsidRPr="00122550">
        <w:rPr>
          <w:rFonts w:ascii="Amasis MT Pro" w:hAnsi="Amasis MT Pro"/>
        </w:rPr>
        <w:t>a separation</w:t>
      </w:r>
      <w:r w:rsidR="0090342A">
        <w:rPr>
          <w:rFonts w:ascii="Amasis MT Pro" w:hAnsi="Amasis MT Pro"/>
        </w:rPr>
        <w:t xml:space="preserve"> cannot be performed</w:t>
      </w:r>
      <w:r w:rsidRPr="00122550">
        <w:rPr>
          <w:rFonts w:ascii="Amasis MT Pro" w:hAnsi="Amasis MT Pro"/>
        </w:rPr>
        <w:t xml:space="preserve">, </w:t>
      </w:r>
      <w:r w:rsidR="00A21BFC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>VAT is calculated on the value of technology</w:t>
      </w:r>
      <w:r w:rsidR="00CD4BB9" w:rsidRPr="00122550">
        <w:rPr>
          <w:rFonts w:ascii="Amasis MT Pro" w:hAnsi="Amasis MT Pro"/>
        </w:rPr>
        <w:t>,</w:t>
      </w:r>
      <w:r w:rsidRPr="00122550">
        <w:rPr>
          <w:rFonts w:ascii="Amasis MT Pro" w:hAnsi="Amasis MT Pro"/>
        </w:rPr>
        <w:t xml:space="preserve"> </w:t>
      </w:r>
      <w:r w:rsidR="00CD4BB9" w:rsidRPr="00122550">
        <w:rPr>
          <w:rFonts w:ascii="Amasis MT Pro" w:hAnsi="Amasis MT Pro"/>
        </w:rPr>
        <w:t xml:space="preserve">transferred </w:t>
      </w:r>
      <w:r w:rsidRPr="00122550">
        <w:rPr>
          <w:rFonts w:ascii="Amasis MT Pro" w:hAnsi="Amasis MT Pro"/>
        </w:rPr>
        <w:t xml:space="preserve">and </w:t>
      </w:r>
      <w:r w:rsidR="00CD4BB9" w:rsidRPr="00122550">
        <w:rPr>
          <w:rFonts w:ascii="Amasis MT Pro" w:hAnsi="Amasis MT Pro"/>
        </w:rPr>
        <w:t xml:space="preserve">concessive </w:t>
      </w:r>
      <w:r w:rsidRPr="00122550">
        <w:rPr>
          <w:rFonts w:ascii="Amasis MT Pro" w:hAnsi="Amasis MT Pro"/>
        </w:rPr>
        <w:t>intellectual property rights with</w:t>
      </w:r>
      <w:r w:rsidR="00A21BFC">
        <w:rPr>
          <w:rFonts w:ascii="Amasis MT Pro" w:hAnsi="Amasis MT Pro"/>
        </w:rPr>
        <w:t xml:space="preserve"> machinery</w:t>
      </w:r>
      <w:r w:rsidRPr="00122550">
        <w:rPr>
          <w:rFonts w:ascii="Amasis MT Pro" w:hAnsi="Amasis MT Pro"/>
        </w:rPr>
        <w:t xml:space="preserve"> and</w:t>
      </w:r>
      <w:r w:rsidR="00314006">
        <w:rPr>
          <w:rFonts w:ascii="Amasis MT Pro" w:hAnsi="Amasis MT Pro"/>
        </w:rPr>
        <w:t xml:space="preserve"> </w:t>
      </w:r>
      <w:r w:rsidRPr="00122550">
        <w:rPr>
          <w:rFonts w:ascii="Amasis MT Pro" w:hAnsi="Amasis MT Pro"/>
        </w:rPr>
        <w:t>equipment. Computer software includes software products and software services as prescribed by law.”</w:t>
      </w:r>
    </w:p>
    <w:p w14:paraId="24263CD1" w14:textId="52D67D7E" w:rsidR="003D224F" w:rsidRPr="00267DF4" w:rsidRDefault="003D224F" w:rsidP="00267DF4">
      <w:pPr>
        <w:spacing w:line="276" w:lineRule="auto"/>
        <w:ind w:left="709"/>
        <w:jc w:val="both"/>
        <w:rPr>
          <w:rFonts w:ascii="Amasis MT Pro" w:hAnsi="Amasis MT Pro"/>
        </w:rPr>
      </w:pPr>
      <w:r w:rsidRPr="00122550">
        <w:rPr>
          <w:rFonts w:ascii="Amasis MT Pro" w:hAnsi="Amasis MT Pro"/>
          <w:b/>
          <w:bCs/>
        </w:rPr>
        <w:t xml:space="preserve">Thus, computer software production </w:t>
      </w:r>
      <w:r w:rsidR="00614A24">
        <w:rPr>
          <w:rFonts w:ascii="Amasis MT Pro" w:hAnsi="Amasis MT Pro"/>
          <w:b/>
          <w:bCs/>
        </w:rPr>
        <w:t xml:space="preserve">manufacture </w:t>
      </w:r>
      <w:r w:rsidRPr="00122550">
        <w:rPr>
          <w:rFonts w:ascii="Amasis MT Pro" w:hAnsi="Amasis MT Pro"/>
          <w:b/>
          <w:bCs/>
        </w:rPr>
        <w:t>and software services are not subject to VAT if the Company's software products and software services are provided and consumed in Vietnam.</w:t>
      </w:r>
    </w:p>
    <w:p w14:paraId="4DE954DC" w14:textId="45EA9B7F" w:rsidR="003D224F" w:rsidRPr="00267DF4" w:rsidRDefault="003D224F" w:rsidP="00267DF4">
      <w:pPr>
        <w:pStyle w:val="ListParagraph"/>
        <w:numPr>
          <w:ilvl w:val="0"/>
          <w:numId w:val="16"/>
        </w:numPr>
        <w:spacing w:line="276" w:lineRule="auto"/>
        <w:ind w:hanging="720"/>
        <w:jc w:val="both"/>
        <w:rPr>
          <w:rFonts w:ascii="Amasis MT Pro" w:hAnsi="Amasis MT Pro"/>
          <w:b/>
          <w:bCs/>
        </w:rPr>
      </w:pPr>
      <w:r w:rsidRPr="00267DF4">
        <w:rPr>
          <w:rFonts w:ascii="Amasis MT Pro" w:hAnsi="Amasis MT Pro"/>
          <w:b/>
          <w:bCs/>
          <w:u w:val="single"/>
        </w:rPr>
        <w:t>Corporate income tax (CIT)</w:t>
      </w:r>
    </w:p>
    <w:p w14:paraId="50B340B8" w14:textId="77777777" w:rsidR="00267DF4" w:rsidRPr="00267DF4" w:rsidRDefault="00267DF4" w:rsidP="00267DF4">
      <w:pPr>
        <w:pStyle w:val="ListParagraph"/>
        <w:spacing w:line="276" w:lineRule="auto"/>
        <w:jc w:val="both"/>
        <w:rPr>
          <w:rFonts w:ascii="Amasis MT Pro" w:hAnsi="Amasis MT Pro"/>
          <w:b/>
          <w:bCs/>
        </w:rPr>
      </w:pPr>
    </w:p>
    <w:p w14:paraId="6B4C56DB" w14:textId="68D13D1D" w:rsidR="003D224F" w:rsidRPr="00267DF4" w:rsidRDefault="003D224F" w:rsidP="00267DF4">
      <w:pPr>
        <w:pStyle w:val="ListParagraph"/>
        <w:numPr>
          <w:ilvl w:val="0"/>
          <w:numId w:val="17"/>
        </w:numPr>
        <w:spacing w:line="276" w:lineRule="auto"/>
        <w:ind w:left="1418" w:hanging="709"/>
        <w:jc w:val="both"/>
        <w:rPr>
          <w:rFonts w:ascii="Amasis MT Pro" w:hAnsi="Amasis MT Pro"/>
          <w:b/>
          <w:bCs/>
        </w:rPr>
      </w:pPr>
      <w:r w:rsidRPr="00267DF4">
        <w:rPr>
          <w:rFonts w:ascii="Amasis MT Pro" w:hAnsi="Amasis MT Pro"/>
          <w:b/>
          <w:bCs/>
        </w:rPr>
        <w:t xml:space="preserve">CIT incentives for enterprises </w:t>
      </w:r>
      <w:r w:rsidR="00CD4BB9" w:rsidRPr="00267DF4">
        <w:rPr>
          <w:rFonts w:ascii="Amasis MT Pro" w:hAnsi="Amasis MT Pro"/>
          <w:b/>
          <w:bCs/>
        </w:rPr>
        <w:t xml:space="preserve">manufacturing </w:t>
      </w:r>
      <w:r w:rsidRPr="00267DF4">
        <w:rPr>
          <w:rFonts w:ascii="Amasis MT Pro" w:hAnsi="Amasis MT Pro"/>
          <w:b/>
          <w:bCs/>
        </w:rPr>
        <w:t>software products</w:t>
      </w:r>
    </w:p>
    <w:p w14:paraId="6D649CE7" w14:textId="65089745" w:rsidR="003D224F" w:rsidRPr="00122550" w:rsidRDefault="00CD4BB9" w:rsidP="00267DF4">
      <w:pPr>
        <w:spacing w:line="276" w:lineRule="auto"/>
        <w:ind w:left="1418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According </w:t>
      </w:r>
      <w:r w:rsidR="003D224F" w:rsidRPr="00122550">
        <w:rPr>
          <w:rFonts w:ascii="Amasis MT Pro" w:hAnsi="Amasis MT Pro"/>
        </w:rPr>
        <w:t>to the provisions of Circular 78/2014/TT-BTC and Circular 96/2015/TT-BTC amending and supplementing this Circular,</w:t>
      </w:r>
      <w:r w:rsidR="00733F64">
        <w:rPr>
          <w:rFonts w:ascii="Amasis MT Pro" w:hAnsi="Amasis MT Pro"/>
        </w:rPr>
        <w:t xml:space="preserve"> </w:t>
      </w:r>
      <w:r w:rsidR="00DB52A6" w:rsidRPr="00122550">
        <w:rPr>
          <w:rFonts w:ascii="Amasis MT Pro" w:hAnsi="Amasis MT Pro"/>
        </w:rPr>
        <w:t>the</w:t>
      </w:r>
      <w:r w:rsidR="003D224F" w:rsidRPr="00122550">
        <w:rPr>
          <w:rFonts w:ascii="Amasis MT Pro" w:hAnsi="Amasis MT Pro"/>
        </w:rPr>
        <w:t xml:space="preserve"> enterprises </w:t>
      </w:r>
      <w:r w:rsidR="00DB52A6" w:rsidRPr="00122550">
        <w:rPr>
          <w:rFonts w:ascii="Amasis MT Pro" w:hAnsi="Amasis MT Pro"/>
        </w:rPr>
        <w:t xml:space="preserve">manufacturing software products </w:t>
      </w:r>
      <w:r w:rsidR="003D224F" w:rsidRPr="00122550">
        <w:rPr>
          <w:rFonts w:ascii="Amasis MT Pro" w:hAnsi="Amasis MT Pro"/>
        </w:rPr>
        <w:t>are entitled to the following incentives:</w:t>
      </w:r>
    </w:p>
    <w:p w14:paraId="403A84A6" w14:textId="77777777" w:rsidR="00267DF4" w:rsidRDefault="003D224F" w:rsidP="00267DF4">
      <w:pPr>
        <w:pStyle w:val="ListParagraph"/>
        <w:numPr>
          <w:ilvl w:val="0"/>
          <w:numId w:val="18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122550">
        <w:rPr>
          <w:rFonts w:ascii="Amasis MT Pro" w:hAnsi="Amasis MT Pro"/>
          <w:b/>
          <w:bCs/>
        </w:rPr>
        <w:t>Year 1 to year 4:</w:t>
      </w:r>
      <w:r w:rsidRPr="00122550">
        <w:rPr>
          <w:rFonts w:ascii="Amasis MT Pro" w:hAnsi="Amasis MT Pro"/>
        </w:rPr>
        <w:t xml:space="preserve"> </w:t>
      </w:r>
      <w:r w:rsidR="00DB52A6" w:rsidRPr="00122550">
        <w:rPr>
          <w:rFonts w:ascii="Amasis MT Pro" w:hAnsi="Amasis MT Pro"/>
        </w:rPr>
        <w:t>Corporate income tax exemption</w:t>
      </w:r>
      <w:r w:rsidRPr="00122550">
        <w:rPr>
          <w:rFonts w:ascii="Amasis MT Pro" w:hAnsi="Amasis MT Pro"/>
        </w:rPr>
        <w:t>.</w:t>
      </w:r>
    </w:p>
    <w:p w14:paraId="2DC5DEC1" w14:textId="77777777" w:rsidR="00267DF4" w:rsidRDefault="00267DF4" w:rsidP="00267DF4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51E35813" w14:textId="77777777" w:rsidR="00267DF4" w:rsidRDefault="003D224F" w:rsidP="00267DF4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  <w:r w:rsidRPr="00267DF4">
        <w:rPr>
          <w:rFonts w:ascii="Amasis MT Pro" w:hAnsi="Amasis MT Pro"/>
        </w:rPr>
        <w:t xml:space="preserve">The year of tax exemption or reduction is determined in accordance with the tax period. The time to start calculating the period of tax exemption and reduction is continuously </w:t>
      </w:r>
      <w:r w:rsidR="00A21BFC" w:rsidRPr="00267DF4">
        <w:rPr>
          <w:rFonts w:ascii="Amasis MT Pro" w:hAnsi="Amasis MT Pro"/>
        </w:rPr>
        <w:t xml:space="preserve">calculated </w:t>
      </w:r>
      <w:r w:rsidRPr="00267DF4">
        <w:rPr>
          <w:rFonts w:ascii="Amasis MT Pro" w:hAnsi="Amasis MT Pro"/>
        </w:rPr>
        <w:t xml:space="preserve">from the first tax period when the enterprise begins to have </w:t>
      </w:r>
      <w:r w:rsidR="009935EA" w:rsidRPr="00267DF4">
        <w:rPr>
          <w:rFonts w:ascii="Amasis MT Pro" w:hAnsi="Amasis MT Pro"/>
        </w:rPr>
        <w:t xml:space="preserve">tax </w:t>
      </w:r>
      <w:r w:rsidR="007A6DD6" w:rsidRPr="00267DF4">
        <w:rPr>
          <w:rFonts w:ascii="Amasis MT Pro" w:hAnsi="Amasis MT Pro"/>
        </w:rPr>
        <w:t xml:space="preserve">income </w:t>
      </w:r>
      <w:r w:rsidRPr="00267DF4">
        <w:rPr>
          <w:rFonts w:ascii="Amasis MT Pro" w:hAnsi="Amasis MT Pro"/>
        </w:rPr>
        <w:t>(not deducted from the loss of previous tax periods</w:t>
      </w:r>
      <w:r w:rsidR="008519D7" w:rsidRPr="00267DF4">
        <w:rPr>
          <w:rFonts w:ascii="Amasis MT Pro" w:hAnsi="Amasis MT Pro"/>
        </w:rPr>
        <w:t xml:space="preserve"> </w:t>
      </w:r>
      <w:r w:rsidR="00FC368E" w:rsidRPr="00267DF4">
        <w:rPr>
          <w:rFonts w:ascii="Amasis MT Pro" w:hAnsi="Amasis MT Pro"/>
        </w:rPr>
        <w:t>transferred</w:t>
      </w:r>
      <w:r w:rsidR="008519D7" w:rsidRPr="00267DF4">
        <w:rPr>
          <w:rFonts w:ascii="Amasis MT Pro" w:hAnsi="Amasis MT Pro"/>
        </w:rPr>
        <w:t xml:space="preserve"> to</w:t>
      </w:r>
      <w:r w:rsidRPr="00267DF4">
        <w:rPr>
          <w:rFonts w:ascii="Amasis MT Pro" w:hAnsi="Amasis MT Pro"/>
        </w:rPr>
        <w:t>).</w:t>
      </w:r>
    </w:p>
    <w:p w14:paraId="5CCA4CB2" w14:textId="57ED1F21" w:rsidR="00267DF4" w:rsidRDefault="003D224F" w:rsidP="00267DF4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lastRenderedPageBreak/>
        <w:t xml:space="preserve">If there is no taxable income from year </w:t>
      </w:r>
      <w:r w:rsidR="00FC398E" w:rsidRPr="00122550">
        <w:rPr>
          <w:rFonts w:ascii="Amasis MT Pro" w:hAnsi="Amasis MT Pro"/>
        </w:rPr>
        <w:t>0</w:t>
      </w:r>
      <w:r w:rsidRPr="00122550">
        <w:rPr>
          <w:rFonts w:ascii="Amasis MT Pro" w:hAnsi="Amasis MT Pro"/>
        </w:rPr>
        <w:t xml:space="preserve">1 to year </w:t>
      </w:r>
      <w:r w:rsidR="00FC398E" w:rsidRPr="00122550">
        <w:rPr>
          <w:rFonts w:ascii="Amasis MT Pro" w:hAnsi="Amasis MT Pro"/>
        </w:rPr>
        <w:t>0</w:t>
      </w:r>
      <w:r w:rsidRPr="00122550">
        <w:rPr>
          <w:rFonts w:ascii="Amasis MT Pro" w:hAnsi="Amasis MT Pro"/>
        </w:rPr>
        <w:t xml:space="preserve">3, </w:t>
      </w:r>
      <w:r w:rsidR="00B469DE">
        <w:rPr>
          <w:rFonts w:ascii="Amasis MT Pro" w:hAnsi="Amasis MT Pro"/>
        </w:rPr>
        <w:t xml:space="preserve">the starting time for enjoying </w:t>
      </w:r>
      <w:r w:rsidR="00B469DE" w:rsidRPr="00B469DE">
        <w:rPr>
          <w:rFonts w:ascii="Amasis MT Pro" w:hAnsi="Amasis MT Pro"/>
        </w:rPr>
        <w:t xml:space="preserve">tax exemption incentives </w:t>
      </w:r>
      <w:r w:rsidR="00B469DE">
        <w:rPr>
          <w:rFonts w:ascii="Amasis MT Pro" w:hAnsi="Amasis MT Pro"/>
        </w:rPr>
        <w:t xml:space="preserve">will </w:t>
      </w:r>
      <w:r w:rsidRPr="00122550">
        <w:rPr>
          <w:rFonts w:ascii="Amasis MT Pro" w:hAnsi="Amasis MT Pro"/>
        </w:rPr>
        <w:t xml:space="preserve">not </w:t>
      </w:r>
      <w:r w:rsidR="00B469DE">
        <w:rPr>
          <w:rFonts w:ascii="Amasis MT Pro" w:hAnsi="Amasis MT Pro"/>
        </w:rPr>
        <w:t xml:space="preserve">be </w:t>
      </w:r>
      <w:r w:rsidRPr="00122550">
        <w:rPr>
          <w:rFonts w:ascii="Amasis MT Pro" w:hAnsi="Amasis MT Pro"/>
        </w:rPr>
        <w:t xml:space="preserve">counted </w:t>
      </w:r>
      <w:r w:rsidR="00B469DE">
        <w:rPr>
          <w:rFonts w:ascii="Amasis MT Pro" w:hAnsi="Amasis MT Pro"/>
        </w:rPr>
        <w:t xml:space="preserve">based on this </w:t>
      </w:r>
      <w:r w:rsidR="00FC368E">
        <w:rPr>
          <w:rFonts w:ascii="Amasis MT Pro" w:hAnsi="Amasis MT Pro"/>
        </w:rPr>
        <w:t>duration.</w:t>
      </w:r>
      <w:r w:rsidRPr="00122550">
        <w:rPr>
          <w:rFonts w:ascii="Amasis MT Pro" w:hAnsi="Amasis MT Pro"/>
        </w:rPr>
        <w:t xml:space="preserve"> But </w:t>
      </w:r>
      <w:r w:rsidR="00B469DE">
        <w:rPr>
          <w:rFonts w:ascii="Amasis MT Pro" w:hAnsi="Amasis MT Pro"/>
        </w:rPr>
        <w:t xml:space="preserve">when coming to </w:t>
      </w:r>
      <w:r w:rsidRPr="00122550">
        <w:rPr>
          <w:rFonts w:ascii="Amasis MT Pro" w:hAnsi="Amasis MT Pro"/>
        </w:rPr>
        <w:t xml:space="preserve">the 4th year, </w:t>
      </w:r>
      <w:r w:rsidR="00B469DE">
        <w:rPr>
          <w:rFonts w:ascii="Amasis MT Pro" w:hAnsi="Amasis MT Pro"/>
        </w:rPr>
        <w:t xml:space="preserve">this duration </w:t>
      </w:r>
      <w:r w:rsidRPr="00122550">
        <w:rPr>
          <w:rFonts w:ascii="Amasis MT Pro" w:hAnsi="Amasis MT Pro"/>
        </w:rPr>
        <w:t>must be counted as the first year of CIT exemption even though there is no taxable income.</w:t>
      </w:r>
    </w:p>
    <w:p w14:paraId="3ED0265B" w14:textId="77777777" w:rsidR="00267DF4" w:rsidRDefault="00267DF4" w:rsidP="00267DF4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24CEEAA7" w14:textId="77777777" w:rsidR="00267DF4" w:rsidRDefault="00A8281F" w:rsidP="00267DF4">
      <w:pPr>
        <w:pStyle w:val="ListParagraph"/>
        <w:numPr>
          <w:ilvl w:val="0"/>
          <w:numId w:val="18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122550">
        <w:rPr>
          <w:rFonts w:ascii="Amasis MT Pro" w:hAnsi="Amasis MT Pro"/>
          <w:b/>
          <w:bCs/>
        </w:rPr>
        <w:t>Year 5 to year 13:</w:t>
      </w:r>
      <w:r w:rsidRPr="00122550">
        <w:rPr>
          <w:rFonts w:ascii="Amasis MT Pro" w:hAnsi="Amasis MT Pro"/>
        </w:rPr>
        <w:t xml:space="preserve"> 50% reduction of corporate income tax at 10% tax rate, </w:t>
      </w:r>
      <w:r w:rsidR="00C92FD1">
        <w:rPr>
          <w:rFonts w:ascii="Amasis MT Pro" w:hAnsi="Amasis MT Pro"/>
        </w:rPr>
        <w:t xml:space="preserve">i.e. </w:t>
      </w:r>
      <w:r w:rsidRPr="00122550">
        <w:rPr>
          <w:rFonts w:ascii="Amasis MT Pro" w:hAnsi="Amasis MT Pro"/>
        </w:rPr>
        <w:t>only 5% must be paid.</w:t>
      </w:r>
    </w:p>
    <w:p w14:paraId="543DFF36" w14:textId="77777777" w:rsidR="00267DF4" w:rsidRDefault="00267DF4" w:rsidP="00267DF4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0191F4C8" w14:textId="77777777" w:rsidR="00267DF4" w:rsidRDefault="00A8281F" w:rsidP="00267DF4">
      <w:pPr>
        <w:pStyle w:val="ListParagraph"/>
        <w:numPr>
          <w:ilvl w:val="0"/>
          <w:numId w:val="18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267DF4">
        <w:rPr>
          <w:rFonts w:ascii="Amasis MT Pro" w:hAnsi="Amasis MT Pro"/>
          <w:b/>
          <w:bCs/>
        </w:rPr>
        <w:t>Years 14 and 15:</w:t>
      </w:r>
      <w:r w:rsidRPr="00267DF4">
        <w:rPr>
          <w:rFonts w:ascii="Amasis MT Pro" w:hAnsi="Amasis MT Pro"/>
        </w:rPr>
        <w:t xml:space="preserve"> Paying Corporate Income Tax at the 10%</w:t>
      </w:r>
      <w:r w:rsidR="004B0C04" w:rsidRPr="00267DF4">
        <w:rPr>
          <w:rFonts w:ascii="Amasis MT Pro" w:hAnsi="Amasis MT Pro"/>
        </w:rPr>
        <w:t xml:space="preserve"> tax rate</w:t>
      </w:r>
      <w:r w:rsidR="00267DF4">
        <w:rPr>
          <w:rFonts w:ascii="Amasis MT Pro" w:hAnsi="Amasis MT Pro"/>
        </w:rPr>
        <w:t>.</w:t>
      </w:r>
    </w:p>
    <w:p w14:paraId="54AC5E7E" w14:textId="77777777" w:rsidR="00267DF4" w:rsidRPr="00267DF4" w:rsidRDefault="00267DF4" w:rsidP="00267DF4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17B69602" w14:textId="57683B00" w:rsidR="00A8281F" w:rsidRPr="00267DF4" w:rsidRDefault="00A8281F" w:rsidP="00267DF4">
      <w:pPr>
        <w:pStyle w:val="ListParagraph"/>
        <w:numPr>
          <w:ilvl w:val="0"/>
          <w:numId w:val="18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267DF4">
        <w:rPr>
          <w:rFonts w:ascii="Amasis MT Pro" w:hAnsi="Amasis MT Pro"/>
          <w:b/>
          <w:bCs/>
        </w:rPr>
        <w:t>From the 16th year:</w:t>
      </w:r>
      <w:r w:rsidRPr="00267DF4">
        <w:rPr>
          <w:rFonts w:ascii="Amasis MT Pro" w:hAnsi="Amasis MT Pro"/>
        </w:rPr>
        <w:t xml:space="preserve"> Pay 100% of corporate income tax at the common tax rate (which is 20%).</w:t>
      </w:r>
    </w:p>
    <w:p w14:paraId="7E0D09F0" w14:textId="23C665D3" w:rsidR="00A8281F" w:rsidRPr="00267DF4" w:rsidRDefault="00A8281F" w:rsidP="00267DF4">
      <w:pPr>
        <w:spacing w:line="276" w:lineRule="auto"/>
        <w:ind w:left="1418"/>
        <w:jc w:val="both"/>
        <w:rPr>
          <w:rFonts w:ascii="Amasis MT Pro" w:hAnsi="Amasis MT Pro"/>
          <w:b/>
          <w:bCs/>
          <w:u w:val="single"/>
        </w:rPr>
      </w:pPr>
      <w:r w:rsidRPr="00122550">
        <w:rPr>
          <w:rFonts w:ascii="Amasis MT Pro" w:hAnsi="Amasis MT Pro"/>
          <w:b/>
          <w:bCs/>
          <w:u w:val="single"/>
        </w:rPr>
        <w:t>*Note that:</w:t>
      </w:r>
      <w:r w:rsidR="00267DF4">
        <w:rPr>
          <w:rFonts w:ascii="Amasis MT Pro" w:hAnsi="Amasis MT Pro"/>
          <w:b/>
          <w:bCs/>
        </w:rPr>
        <w:t xml:space="preserve"> </w:t>
      </w:r>
      <w:r w:rsidR="00267DF4" w:rsidRPr="00267DF4">
        <w:rPr>
          <w:rFonts w:ascii="Amasis MT Pro" w:hAnsi="Amasis MT Pro"/>
          <w:bCs/>
        </w:rPr>
        <w:t>(</w:t>
      </w:r>
      <w:proofErr w:type="spellStart"/>
      <w:r w:rsidR="00267DF4" w:rsidRPr="00267DF4">
        <w:rPr>
          <w:rFonts w:ascii="Amasis MT Pro" w:hAnsi="Amasis MT Pro"/>
          <w:bCs/>
        </w:rPr>
        <w:t>i</w:t>
      </w:r>
      <w:proofErr w:type="spellEnd"/>
      <w:r w:rsidR="00267DF4" w:rsidRPr="00267DF4">
        <w:rPr>
          <w:rFonts w:ascii="Amasis MT Pro" w:hAnsi="Amasis MT Pro"/>
          <w:bCs/>
        </w:rPr>
        <w:t>)</w:t>
      </w:r>
      <w:r w:rsidR="00267DF4">
        <w:rPr>
          <w:rFonts w:ascii="Amasis MT Pro" w:hAnsi="Amasis MT Pro"/>
          <w:b/>
          <w:bCs/>
        </w:rPr>
        <w:t xml:space="preserve"> </w:t>
      </w:r>
      <w:r w:rsidR="00FC398E" w:rsidRPr="00122550">
        <w:rPr>
          <w:rFonts w:ascii="Amasis MT Pro" w:hAnsi="Amasis MT Pro"/>
        </w:rPr>
        <w:t>If an enterprise buys/sells sof</w:t>
      </w:r>
      <w:r w:rsidR="00122550">
        <w:rPr>
          <w:rFonts w:ascii="Amasis MT Pro" w:hAnsi="Amasis MT Pro"/>
        </w:rPr>
        <w:t>t</w:t>
      </w:r>
      <w:r w:rsidR="00FC398E" w:rsidRPr="00122550">
        <w:rPr>
          <w:rFonts w:ascii="Amasis MT Pro" w:hAnsi="Amasis MT Pro"/>
        </w:rPr>
        <w:t>ware, it cannot be entit</w:t>
      </w:r>
      <w:r w:rsidR="00267DF4">
        <w:rPr>
          <w:rFonts w:ascii="Amasis MT Pro" w:hAnsi="Amasis MT Pro"/>
        </w:rPr>
        <w:t xml:space="preserve">led to CIT incentives as above; (ii) </w:t>
      </w:r>
      <w:r w:rsidRPr="00122550">
        <w:rPr>
          <w:rFonts w:ascii="Amasis MT Pro" w:hAnsi="Amasis MT Pro"/>
        </w:rPr>
        <w:t xml:space="preserve">During the time of enjoying CIT incentives, if </w:t>
      </w:r>
      <w:r w:rsidR="00DF5157" w:rsidRPr="00122550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 xml:space="preserve">enterprise </w:t>
      </w:r>
      <w:r w:rsidR="00C92FD1">
        <w:rPr>
          <w:rFonts w:ascii="Amasis MT Pro" w:hAnsi="Amasis MT Pro"/>
        </w:rPr>
        <w:t xml:space="preserve">performs </w:t>
      </w:r>
      <w:r w:rsidR="00FC368E" w:rsidRPr="00122550">
        <w:rPr>
          <w:rFonts w:ascii="Amasis MT Pro" w:hAnsi="Amasis MT Pro"/>
        </w:rPr>
        <w:t xml:space="preserve">many </w:t>
      </w:r>
      <w:r w:rsidR="00FC368E">
        <w:rPr>
          <w:rFonts w:ascii="Amasis MT Pro" w:hAnsi="Amasis MT Pro"/>
        </w:rPr>
        <w:t>manufacturing</w:t>
      </w:r>
      <w:r w:rsidRPr="00122550">
        <w:rPr>
          <w:rFonts w:ascii="Amasis MT Pro" w:hAnsi="Amasis MT Pro"/>
        </w:rPr>
        <w:t xml:space="preserve"> and business activities, </w:t>
      </w:r>
      <w:r w:rsidR="00DF5157" w:rsidRPr="00122550">
        <w:rPr>
          <w:rFonts w:ascii="Amasis MT Pro" w:hAnsi="Amasis MT Pro"/>
        </w:rPr>
        <w:t xml:space="preserve">it </w:t>
      </w:r>
      <w:r w:rsidRPr="00122550">
        <w:rPr>
          <w:rFonts w:ascii="Amasis MT Pro" w:hAnsi="Amasis MT Pro"/>
        </w:rPr>
        <w:t xml:space="preserve">must separately calculate income from software product </w:t>
      </w:r>
      <w:r w:rsidR="004B0C04">
        <w:rPr>
          <w:rFonts w:ascii="Amasis MT Pro" w:hAnsi="Amasis MT Pro"/>
        </w:rPr>
        <w:t xml:space="preserve">manufacturing </w:t>
      </w:r>
      <w:r w:rsidRPr="00122550">
        <w:rPr>
          <w:rFonts w:ascii="Amasis MT Pro" w:hAnsi="Amasis MT Pro"/>
        </w:rPr>
        <w:t>activities.</w:t>
      </w:r>
    </w:p>
    <w:p w14:paraId="50279A45" w14:textId="0D3D035B" w:rsidR="00191899" w:rsidRPr="00267DF4" w:rsidRDefault="00191899" w:rsidP="00267DF4">
      <w:pPr>
        <w:pStyle w:val="ListParagraph"/>
        <w:numPr>
          <w:ilvl w:val="0"/>
          <w:numId w:val="17"/>
        </w:numPr>
        <w:spacing w:line="276" w:lineRule="auto"/>
        <w:ind w:left="1418" w:hanging="709"/>
        <w:jc w:val="both"/>
        <w:rPr>
          <w:rFonts w:ascii="Amasis MT Pro" w:hAnsi="Amasis MT Pro"/>
          <w:b/>
          <w:bCs/>
        </w:rPr>
      </w:pPr>
      <w:r w:rsidRPr="00267DF4">
        <w:rPr>
          <w:rFonts w:ascii="Amasis MT Pro" w:hAnsi="Amasis MT Pro"/>
          <w:b/>
          <w:bCs/>
        </w:rPr>
        <w:t xml:space="preserve">Conditions for enjoying PIT incentives from software </w:t>
      </w:r>
      <w:r w:rsidR="00FC368E" w:rsidRPr="00267DF4">
        <w:rPr>
          <w:rFonts w:ascii="Amasis MT Pro" w:hAnsi="Amasis MT Pro"/>
          <w:b/>
          <w:bCs/>
        </w:rPr>
        <w:t>product manufacturing</w:t>
      </w:r>
      <w:r w:rsidRPr="00267DF4">
        <w:rPr>
          <w:rFonts w:ascii="Amasis MT Pro" w:hAnsi="Amasis MT Pro"/>
          <w:b/>
          <w:bCs/>
        </w:rPr>
        <w:t xml:space="preserve"> activities</w:t>
      </w:r>
    </w:p>
    <w:p w14:paraId="49282851" w14:textId="7E9E335A" w:rsidR="00191899" w:rsidRPr="00122550" w:rsidRDefault="00191899" w:rsidP="00C12526">
      <w:pPr>
        <w:spacing w:line="276" w:lineRule="auto"/>
        <w:ind w:left="1418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In order to enjoy CIT incentives for </w:t>
      </w:r>
      <w:r w:rsidR="00FC368E" w:rsidRPr="00122550">
        <w:rPr>
          <w:rFonts w:ascii="Amasis MT Pro" w:hAnsi="Amasis MT Pro"/>
        </w:rPr>
        <w:t xml:space="preserve">software </w:t>
      </w:r>
      <w:r w:rsidR="00FC368E">
        <w:rPr>
          <w:rFonts w:ascii="Amasis MT Pro" w:hAnsi="Amasis MT Pro"/>
        </w:rPr>
        <w:t>manufacturing</w:t>
      </w:r>
      <w:r w:rsidRPr="00122550">
        <w:rPr>
          <w:rFonts w:ascii="Amasis MT Pro" w:hAnsi="Amasis MT Pro"/>
        </w:rPr>
        <w:t>,</w:t>
      </w:r>
      <w:r w:rsidR="00DF5157" w:rsidRPr="00122550">
        <w:rPr>
          <w:rFonts w:ascii="Amasis MT Pro" w:hAnsi="Amasis MT Pro"/>
        </w:rPr>
        <w:t xml:space="preserve"> in</w:t>
      </w:r>
      <w:r w:rsidR="00122550">
        <w:rPr>
          <w:rFonts w:ascii="Amasis MT Pro" w:hAnsi="Amasis MT Pro"/>
        </w:rPr>
        <w:t>i</w:t>
      </w:r>
      <w:r w:rsidR="00DF5157" w:rsidRPr="00122550">
        <w:rPr>
          <w:rFonts w:ascii="Amasis MT Pro" w:hAnsi="Amasis MT Pro"/>
        </w:rPr>
        <w:t>tially,</w:t>
      </w:r>
      <w:r w:rsidRPr="00122550">
        <w:rPr>
          <w:rFonts w:ascii="Amasis MT Pro" w:hAnsi="Amasis MT Pro"/>
        </w:rPr>
        <w:t xml:space="preserve"> </w:t>
      </w:r>
      <w:r w:rsidR="00DF5157" w:rsidRPr="00122550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 xml:space="preserve">enterprises must prove that they have </w:t>
      </w:r>
      <w:r w:rsidR="004B0C04">
        <w:rPr>
          <w:rFonts w:ascii="Amasis MT Pro" w:hAnsi="Amasis MT Pro"/>
        </w:rPr>
        <w:t xml:space="preserve">manufacturing </w:t>
      </w:r>
      <w:r w:rsidRPr="00122550">
        <w:rPr>
          <w:rFonts w:ascii="Amasis MT Pro" w:hAnsi="Amasis MT Pro"/>
        </w:rPr>
        <w:t xml:space="preserve">activities </w:t>
      </w:r>
      <w:r w:rsidR="003C0836">
        <w:rPr>
          <w:rFonts w:ascii="Amasis MT Pro" w:hAnsi="Amasis MT Pro"/>
        </w:rPr>
        <w:t xml:space="preserve">of </w:t>
      </w:r>
      <w:r w:rsidRPr="00122550">
        <w:rPr>
          <w:rFonts w:ascii="Amasis MT Pro" w:hAnsi="Amasis MT Pro"/>
        </w:rPr>
        <w:t>this product.</w:t>
      </w:r>
    </w:p>
    <w:p w14:paraId="231E8969" w14:textId="21987B92" w:rsidR="00191899" w:rsidRPr="00122550" w:rsidRDefault="00191899" w:rsidP="00C12526">
      <w:pPr>
        <w:spacing w:line="276" w:lineRule="auto"/>
        <w:ind w:left="1418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According to the provisions of Article 4, Circular 13/2020/TT-BTTTT, </w:t>
      </w:r>
      <w:r w:rsidR="00DF5157" w:rsidRPr="00122550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 xml:space="preserve">enterprise will be determined to have software product manufacturing activities if it performs at least one of two stages: </w:t>
      </w:r>
      <w:r w:rsidR="00AA63F1">
        <w:rPr>
          <w:rFonts w:ascii="Amasis MT Pro" w:hAnsi="Amasis MT Pro"/>
        </w:rPr>
        <w:t xml:space="preserve"> Determining</w:t>
      </w:r>
      <w:r w:rsidRPr="00122550">
        <w:rPr>
          <w:rFonts w:ascii="Amasis MT Pro" w:hAnsi="Amasis MT Pro"/>
        </w:rPr>
        <w:t xml:space="preserve"> requirements; </w:t>
      </w:r>
      <w:r w:rsidR="00FC368E">
        <w:rPr>
          <w:rFonts w:ascii="Amasis MT Pro" w:hAnsi="Amasis MT Pro"/>
        </w:rPr>
        <w:t>Analyzing</w:t>
      </w:r>
      <w:r w:rsidR="00AA63F1">
        <w:rPr>
          <w:rFonts w:ascii="Amasis MT Pro" w:hAnsi="Amasis MT Pro"/>
        </w:rPr>
        <w:t xml:space="preserve"> </w:t>
      </w:r>
      <w:r w:rsidRPr="00122550">
        <w:rPr>
          <w:rFonts w:ascii="Amasis MT Pro" w:hAnsi="Amasis MT Pro"/>
        </w:rPr>
        <w:t>and design</w:t>
      </w:r>
      <w:r w:rsidR="00AA63F1">
        <w:rPr>
          <w:rFonts w:ascii="Amasis MT Pro" w:hAnsi="Amasis MT Pro"/>
        </w:rPr>
        <w:t>ing</w:t>
      </w:r>
      <w:r w:rsidRPr="00122550">
        <w:rPr>
          <w:rFonts w:ascii="Amasis MT Pro" w:hAnsi="Amasis MT Pro"/>
        </w:rPr>
        <w:t xml:space="preserve"> among 07 stages of software product manufacturing process including:</w:t>
      </w:r>
    </w:p>
    <w:p w14:paraId="7F819118" w14:textId="77777777" w:rsidR="00C12526" w:rsidRDefault="006C5B0A" w:rsidP="00C12526">
      <w:pPr>
        <w:pStyle w:val="ListParagraph"/>
        <w:numPr>
          <w:ilvl w:val="0"/>
          <w:numId w:val="19"/>
        </w:numPr>
        <w:spacing w:line="276" w:lineRule="auto"/>
        <w:ind w:left="2127" w:hanging="709"/>
        <w:jc w:val="both"/>
        <w:rPr>
          <w:rFonts w:ascii="Amasis MT Pro" w:hAnsi="Amasis MT Pro"/>
          <w:b/>
          <w:bCs/>
        </w:rPr>
      </w:pPr>
      <w:r w:rsidRPr="00122550">
        <w:rPr>
          <w:rFonts w:ascii="Amasis MT Pro" w:hAnsi="Amasis MT Pro"/>
          <w:b/>
          <w:bCs/>
        </w:rPr>
        <w:t>Identify</w:t>
      </w:r>
      <w:r w:rsidR="00C227A1" w:rsidRPr="00122550">
        <w:rPr>
          <w:rFonts w:ascii="Amasis MT Pro" w:hAnsi="Amasis MT Pro"/>
          <w:b/>
          <w:bCs/>
        </w:rPr>
        <w:t>ing</w:t>
      </w:r>
      <w:r w:rsidRPr="00122550">
        <w:rPr>
          <w:rFonts w:ascii="Amasis MT Pro" w:hAnsi="Amasis MT Pro"/>
          <w:b/>
          <w:bCs/>
        </w:rPr>
        <w:t xml:space="preserve"> customer requirements;</w:t>
      </w:r>
    </w:p>
    <w:p w14:paraId="5AE85C8C" w14:textId="77777777" w:rsidR="00C12526" w:rsidRDefault="00C12526" w:rsidP="00C12526">
      <w:pPr>
        <w:pStyle w:val="ListParagraph"/>
        <w:spacing w:line="276" w:lineRule="auto"/>
        <w:ind w:left="2127"/>
        <w:jc w:val="both"/>
        <w:rPr>
          <w:rFonts w:ascii="Amasis MT Pro" w:hAnsi="Amasis MT Pro"/>
          <w:b/>
          <w:bCs/>
        </w:rPr>
      </w:pPr>
    </w:p>
    <w:p w14:paraId="67490B6C" w14:textId="77777777" w:rsidR="00C12526" w:rsidRDefault="00C227A1" w:rsidP="00C12526">
      <w:pPr>
        <w:pStyle w:val="ListParagraph"/>
        <w:numPr>
          <w:ilvl w:val="0"/>
          <w:numId w:val="19"/>
        </w:numPr>
        <w:spacing w:line="276" w:lineRule="auto"/>
        <w:ind w:left="2127" w:hanging="709"/>
        <w:jc w:val="both"/>
        <w:rPr>
          <w:rFonts w:ascii="Amasis MT Pro" w:hAnsi="Amasis MT Pro"/>
          <w:b/>
          <w:bCs/>
        </w:rPr>
      </w:pPr>
      <w:proofErr w:type="spellStart"/>
      <w:r w:rsidRPr="00C12526">
        <w:rPr>
          <w:rFonts w:ascii="Amasis MT Pro" w:hAnsi="Amasis MT Pro"/>
          <w:b/>
          <w:bCs/>
        </w:rPr>
        <w:t>Analysizing</w:t>
      </w:r>
      <w:proofErr w:type="spellEnd"/>
      <w:r w:rsidRPr="00C12526">
        <w:rPr>
          <w:rFonts w:ascii="Amasis MT Pro" w:hAnsi="Amasis MT Pro"/>
          <w:b/>
          <w:bCs/>
        </w:rPr>
        <w:t xml:space="preserve"> </w:t>
      </w:r>
      <w:r w:rsidR="006C5B0A" w:rsidRPr="00C12526">
        <w:rPr>
          <w:rFonts w:ascii="Amasis MT Pro" w:hAnsi="Amasis MT Pro"/>
          <w:b/>
          <w:bCs/>
        </w:rPr>
        <w:t>and design</w:t>
      </w:r>
      <w:r w:rsidRPr="00C12526">
        <w:rPr>
          <w:rFonts w:ascii="Amasis MT Pro" w:hAnsi="Amasis MT Pro"/>
          <w:b/>
          <w:bCs/>
        </w:rPr>
        <w:t>ing</w:t>
      </w:r>
      <w:r w:rsidR="006C5B0A" w:rsidRPr="00C12526">
        <w:rPr>
          <w:rFonts w:ascii="Amasis MT Pro" w:hAnsi="Amasis MT Pro"/>
          <w:b/>
          <w:bCs/>
        </w:rPr>
        <w:t xml:space="preserve"> as required;</w:t>
      </w:r>
    </w:p>
    <w:p w14:paraId="03165CC7" w14:textId="77777777" w:rsidR="00C12526" w:rsidRDefault="00C12526" w:rsidP="00C12526">
      <w:pPr>
        <w:pStyle w:val="ListParagraph"/>
        <w:spacing w:line="276" w:lineRule="auto"/>
        <w:ind w:left="2127"/>
        <w:jc w:val="both"/>
        <w:rPr>
          <w:rFonts w:ascii="Amasis MT Pro" w:hAnsi="Amasis MT Pro"/>
          <w:b/>
          <w:bCs/>
        </w:rPr>
      </w:pPr>
    </w:p>
    <w:p w14:paraId="23B359DE" w14:textId="77777777" w:rsidR="00C12526" w:rsidRDefault="006C5B0A" w:rsidP="00C12526">
      <w:pPr>
        <w:pStyle w:val="ListParagraph"/>
        <w:numPr>
          <w:ilvl w:val="0"/>
          <w:numId w:val="19"/>
        </w:numPr>
        <w:spacing w:line="276" w:lineRule="auto"/>
        <w:ind w:left="2127" w:hanging="709"/>
        <w:jc w:val="both"/>
        <w:rPr>
          <w:rFonts w:ascii="Amasis MT Pro" w:hAnsi="Amasis MT Pro"/>
          <w:b/>
          <w:bCs/>
        </w:rPr>
      </w:pPr>
      <w:r w:rsidRPr="00C12526">
        <w:rPr>
          <w:rFonts w:ascii="Amasis MT Pro" w:hAnsi="Amasis MT Pro"/>
          <w:b/>
          <w:bCs/>
        </w:rPr>
        <w:t>Programming, writing code;</w:t>
      </w:r>
    </w:p>
    <w:p w14:paraId="25A49017" w14:textId="77777777" w:rsidR="00C12526" w:rsidRDefault="00C12526" w:rsidP="00C12526">
      <w:pPr>
        <w:pStyle w:val="ListParagraph"/>
        <w:spacing w:line="276" w:lineRule="auto"/>
        <w:ind w:left="2127"/>
        <w:jc w:val="both"/>
        <w:rPr>
          <w:rFonts w:ascii="Amasis MT Pro" w:hAnsi="Amasis MT Pro"/>
          <w:b/>
          <w:bCs/>
        </w:rPr>
      </w:pPr>
    </w:p>
    <w:p w14:paraId="02445BD9" w14:textId="77777777" w:rsidR="00C12526" w:rsidRDefault="006C5B0A" w:rsidP="00C12526">
      <w:pPr>
        <w:pStyle w:val="ListParagraph"/>
        <w:numPr>
          <w:ilvl w:val="0"/>
          <w:numId w:val="19"/>
        </w:numPr>
        <w:spacing w:line="276" w:lineRule="auto"/>
        <w:ind w:left="2127" w:hanging="709"/>
        <w:jc w:val="both"/>
        <w:rPr>
          <w:rFonts w:ascii="Amasis MT Pro" w:hAnsi="Amasis MT Pro"/>
          <w:b/>
          <w:bCs/>
        </w:rPr>
      </w:pPr>
      <w:r w:rsidRPr="00C12526">
        <w:rPr>
          <w:rFonts w:ascii="Amasis MT Pro" w:hAnsi="Amasis MT Pro"/>
          <w:b/>
          <w:bCs/>
        </w:rPr>
        <w:t xml:space="preserve">Testing and </w:t>
      </w:r>
      <w:r w:rsidR="00AB5E06" w:rsidRPr="00C12526">
        <w:rPr>
          <w:rFonts w:ascii="Amasis MT Pro" w:hAnsi="Amasis MT Pro"/>
          <w:b/>
          <w:bCs/>
        </w:rPr>
        <w:t xml:space="preserve">experiment with </w:t>
      </w:r>
      <w:r w:rsidRPr="00C12526">
        <w:rPr>
          <w:rFonts w:ascii="Amasis MT Pro" w:hAnsi="Amasis MT Pro"/>
          <w:b/>
          <w:bCs/>
        </w:rPr>
        <w:t>software;</w:t>
      </w:r>
    </w:p>
    <w:p w14:paraId="569BFD42" w14:textId="77777777" w:rsidR="00C12526" w:rsidRDefault="00C12526" w:rsidP="00C12526">
      <w:pPr>
        <w:pStyle w:val="ListParagraph"/>
        <w:spacing w:line="276" w:lineRule="auto"/>
        <w:ind w:left="2127"/>
        <w:jc w:val="both"/>
        <w:rPr>
          <w:rFonts w:ascii="Amasis MT Pro" w:hAnsi="Amasis MT Pro"/>
          <w:b/>
          <w:bCs/>
        </w:rPr>
      </w:pPr>
    </w:p>
    <w:p w14:paraId="5A4F02F0" w14:textId="77777777" w:rsidR="00C12526" w:rsidRDefault="006C5B0A" w:rsidP="00C12526">
      <w:pPr>
        <w:pStyle w:val="ListParagraph"/>
        <w:numPr>
          <w:ilvl w:val="0"/>
          <w:numId w:val="19"/>
        </w:numPr>
        <w:spacing w:line="276" w:lineRule="auto"/>
        <w:ind w:left="2127" w:hanging="709"/>
        <w:jc w:val="both"/>
        <w:rPr>
          <w:rFonts w:ascii="Amasis MT Pro" w:hAnsi="Amasis MT Pro"/>
          <w:b/>
          <w:bCs/>
        </w:rPr>
      </w:pPr>
      <w:r w:rsidRPr="00C12526">
        <w:rPr>
          <w:rFonts w:ascii="Amasis MT Pro" w:hAnsi="Amasis MT Pro"/>
          <w:b/>
          <w:bCs/>
        </w:rPr>
        <w:t xml:space="preserve">Completing and packaging </w:t>
      </w:r>
      <w:r w:rsidR="00AB5E06" w:rsidRPr="00C12526">
        <w:rPr>
          <w:rFonts w:ascii="Amasis MT Pro" w:hAnsi="Amasis MT Pro"/>
          <w:b/>
          <w:bCs/>
        </w:rPr>
        <w:t xml:space="preserve">the </w:t>
      </w:r>
      <w:r w:rsidRPr="00C12526">
        <w:rPr>
          <w:rFonts w:ascii="Amasis MT Pro" w:hAnsi="Amasis MT Pro"/>
          <w:b/>
          <w:bCs/>
        </w:rPr>
        <w:t>software products;</w:t>
      </w:r>
    </w:p>
    <w:p w14:paraId="75F355F8" w14:textId="77777777" w:rsidR="00C12526" w:rsidRDefault="00C12526" w:rsidP="00C12526">
      <w:pPr>
        <w:pStyle w:val="ListParagraph"/>
        <w:spacing w:line="276" w:lineRule="auto"/>
        <w:ind w:left="2127"/>
        <w:jc w:val="both"/>
        <w:rPr>
          <w:rFonts w:ascii="Amasis MT Pro" w:hAnsi="Amasis MT Pro"/>
          <w:b/>
          <w:bCs/>
        </w:rPr>
      </w:pPr>
    </w:p>
    <w:p w14:paraId="7107A369" w14:textId="77777777" w:rsidR="00C12526" w:rsidRDefault="006928D2" w:rsidP="00C12526">
      <w:pPr>
        <w:pStyle w:val="ListParagraph"/>
        <w:numPr>
          <w:ilvl w:val="0"/>
          <w:numId w:val="19"/>
        </w:numPr>
        <w:spacing w:line="276" w:lineRule="auto"/>
        <w:ind w:left="2127" w:hanging="709"/>
        <w:jc w:val="both"/>
        <w:rPr>
          <w:rFonts w:ascii="Amasis MT Pro" w:hAnsi="Amasis MT Pro"/>
          <w:b/>
          <w:bCs/>
        </w:rPr>
      </w:pPr>
      <w:r w:rsidRPr="00C12526">
        <w:rPr>
          <w:rFonts w:ascii="Amasis MT Pro" w:hAnsi="Amasis MT Pro"/>
          <w:b/>
          <w:bCs/>
        </w:rPr>
        <w:t>Installing</w:t>
      </w:r>
      <w:r w:rsidR="006C5B0A" w:rsidRPr="00C12526">
        <w:rPr>
          <w:rFonts w:ascii="Amasis MT Pro" w:hAnsi="Amasis MT Pro"/>
          <w:b/>
          <w:bCs/>
        </w:rPr>
        <w:t>, transfer</w:t>
      </w:r>
      <w:r w:rsidRPr="00C12526">
        <w:rPr>
          <w:rFonts w:ascii="Amasis MT Pro" w:hAnsi="Amasis MT Pro"/>
          <w:b/>
          <w:bCs/>
        </w:rPr>
        <w:t>ring</w:t>
      </w:r>
      <w:r w:rsidR="006C5B0A" w:rsidRPr="00C12526">
        <w:rPr>
          <w:rFonts w:ascii="Amasis MT Pro" w:hAnsi="Amasis MT Pro"/>
          <w:b/>
          <w:bCs/>
        </w:rPr>
        <w:t xml:space="preserve">, </w:t>
      </w:r>
      <w:r w:rsidR="00AB5E06" w:rsidRPr="00C12526">
        <w:rPr>
          <w:rFonts w:ascii="Amasis MT Pro" w:hAnsi="Amasis MT Pro"/>
          <w:b/>
          <w:bCs/>
        </w:rPr>
        <w:t>guiding</w:t>
      </w:r>
      <w:r w:rsidR="00733F64" w:rsidRPr="00C12526">
        <w:rPr>
          <w:rFonts w:ascii="Amasis MT Pro" w:hAnsi="Amasis MT Pro"/>
          <w:b/>
          <w:bCs/>
        </w:rPr>
        <w:t xml:space="preserve"> </w:t>
      </w:r>
      <w:r w:rsidR="003C0836" w:rsidRPr="00C12526">
        <w:rPr>
          <w:rFonts w:ascii="Amasis MT Pro" w:hAnsi="Amasis MT Pro"/>
          <w:b/>
          <w:bCs/>
        </w:rPr>
        <w:t xml:space="preserve">principles for </w:t>
      </w:r>
      <w:proofErr w:type="spellStart"/>
      <w:r w:rsidR="00AB5E06" w:rsidRPr="00C12526">
        <w:rPr>
          <w:rFonts w:ascii="Amasis MT Pro" w:hAnsi="Amasis MT Pro"/>
          <w:b/>
          <w:bCs/>
        </w:rPr>
        <w:t>uti</w:t>
      </w:r>
      <w:r w:rsidR="00122550" w:rsidRPr="00C12526">
        <w:rPr>
          <w:rFonts w:ascii="Amasis MT Pro" w:hAnsi="Amasis MT Pro"/>
          <w:b/>
          <w:bCs/>
        </w:rPr>
        <w:t>l</w:t>
      </w:r>
      <w:r w:rsidR="00AB5E06" w:rsidRPr="00C12526">
        <w:rPr>
          <w:rFonts w:ascii="Amasis MT Pro" w:hAnsi="Amasis MT Pro"/>
          <w:b/>
          <w:bCs/>
        </w:rPr>
        <w:t>isation</w:t>
      </w:r>
      <w:proofErr w:type="spellEnd"/>
      <w:r w:rsidR="006C5B0A" w:rsidRPr="00C12526">
        <w:rPr>
          <w:rFonts w:ascii="Amasis MT Pro" w:hAnsi="Amasis MT Pro"/>
          <w:b/>
          <w:bCs/>
        </w:rPr>
        <w:t xml:space="preserve">, </w:t>
      </w:r>
      <w:r w:rsidR="00AB5E06" w:rsidRPr="00C12526">
        <w:rPr>
          <w:rFonts w:ascii="Amasis MT Pro" w:hAnsi="Amasis MT Pro"/>
          <w:b/>
          <w:bCs/>
        </w:rPr>
        <w:t xml:space="preserve">maintaining </w:t>
      </w:r>
      <w:r w:rsidR="006C5B0A" w:rsidRPr="00C12526">
        <w:rPr>
          <w:rFonts w:ascii="Amasis MT Pro" w:hAnsi="Amasis MT Pro"/>
          <w:b/>
          <w:bCs/>
        </w:rPr>
        <w:t xml:space="preserve">and </w:t>
      </w:r>
      <w:r w:rsidR="00AB5E06" w:rsidRPr="00C12526">
        <w:rPr>
          <w:rFonts w:ascii="Amasis MT Pro" w:hAnsi="Amasis MT Pro"/>
          <w:b/>
          <w:bCs/>
        </w:rPr>
        <w:t xml:space="preserve">guaranteeing the </w:t>
      </w:r>
      <w:r w:rsidR="006C5B0A" w:rsidRPr="00C12526">
        <w:rPr>
          <w:rFonts w:ascii="Amasis MT Pro" w:hAnsi="Amasis MT Pro"/>
          <w:b/>
          <w:bCs/>
        </w:rPr>
        <w:t>software products;</w:t>
      </w:r>
    </w:p>
    <w:p w14:paraId="279ACACE" w14:textId="4D14D9DF" w:rsidR="006C5B0A" w:rsidRPr="00C12526" w:rsidRDefault="00AB5E06" w:rsidP="00C12526">
      <w:pPr>
        <w:pStyle w:val="ListParagraph"/>
        <w:numPr>
          <w:ilvl w:val="0"/>
          <w:numId w:val="19"/>
        </w:numPr>
        <w:spacing w:line="276" w:lineRule="auto"/>
        <w:ind w:left="2127" w:hanging="709"/>
        <w:jc w:val="both"/>
        <w:rPr>
          <w:rFonts w:ascii="Amasis MT Pro" w:hAnsi="Amasis MT Pro"/>
          <w:b/>
          <w:bCs/>
        </w:rPr>
      </w:pPr>
      <w:r w:rsidRPr="00C12526">
        <w:rPr>
          <w:rFonts w:ascii="Amasis MT Pro" w:hAnsi="Amasis MT Pro"/>
          <w:b/>
          <w:bCs/>
        </w:rPr>
        <w:lastRenderedPageBreak/>
        <w:t xml:space="preserve">Releasing </w:t>
      </w:r>
      <w:r w:rsidR="006C5B0A" w:rsidRPr="00C12526">
        <w:rPr>
          <w:rFonts w:ascii="Amasis MT Pro" w:hAnsi="Amasis MT Pro"/>
          <w:b/>
          <w:bCs/>
        </w:rPr>
        <w:t xml:space="preserve">and </w:t>
      </w:r>
      <w:r w:rsidRPr="00C12526">
        <w:rPr>
          <w:rFonts w:ascii="Amasis MT Pro" w:hAnsi="Amasis MT Pro"/>
          <w:b/>
          <w:bCs/>
        </w:rPr>
        <w:t xml:space="preserve">distributing the </w:t>
      </w:r>
      <w:r w:rsidR="006C5B0A" w:rsidRPr="00C12526">
        <w:rPr>
          <w:rFonts w:ascii="Amasis MT Pro" w:hAnsi="Amasis MT Pro"/>
          <w:b/>
          <w:bCs/>
        </w:rPr>
        <w:t>software products.</w:t>
      </w:r>
    </w:p>
    <w:p w14:paraId="78697331" w14:textId="54E765D1" w:rsidR="006C5B0A" w:rsidRPr="00122550" w:rsidRDefault="006C5B0A" w:rsidP="00C12526">
      <w:pPr>
        <w:spacing w:line="276" w:lineRule="auto"/>
        <w:ind w:left="1418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Each stage will include many different contents (operations), </w:t>
      </w:r>
      <w:r w:rsidR="00AB5E06" w:rsidRPr="00122550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>enterprises need to perform at least one operation in</w:t>
      </w:r>
      <w:r w:rsidR="003C0836">
        <w:rPr>
          <w:rFonts w:ascii="Amasis MT Pro" w:hAnsi="Amasis MT Pro"/>
        </w:rPr>
        <w:t xml:space="preserve"> a</w:t>
      </w:r>
      <w:r w:rsidRPr="00122550">
        <w:rPr>
          <w:rFonts w:ascii="Amasis MT Pro" w:hAnsi="Amasis MT Pro"/>
        </w:rPr>
        <w:t xml:space="preserve"> stage to be considered to have performed that stage.</w:t>
      </w:r>
    </w:p>
    <w:p w14:paraId="11E3F1CF" w14:textId="753C856B" w:rsidR="00122550" w:rsidRPr="00122550" w:rsidRDefault="006C5B0A" w:rsidP="00C12526">
      <w:pPr>
        <w:spacing w:line="276" w:lineRule="auto"/>
        <w:ind w:left="1418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It should be noted that </w:t>
      </w:r>
      <w:r w:rsidR="00AB5E06" w:rsidRPr="00122550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 xml:space="preserve">software products manufactured by </w:t>
      </w:r>
      <w:r w:rsidR="00AB5E06" w:rsidRPr="00122550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 xml:space="preserve">enterprises must be included in the List of software products promulgated under Circular 09/2013/TT-BTTTT of the Ministry of Information and Communications to be </w:t>
      </w:r>
      <w:r w:rsidR="00AA63F1">
        <w:rPr>
          <w:rFonts w:ascii="Amasis MT Pro" w:hAnsi="Amasis MT Pro"/>
        </w:rPr>
        <w:t xml:space="preserve">the </w:t>
      </w:r>
      <w:r w:rsidR="00FC368E">
        <w:rPr>
          <w:rFonts w:ascii="Amasis MT Pro" w:hAnsi="Amasis MT Pro"/>
        </w:rPr>
        <w:t>subjects entitled</w:t>
      </w:r>
      <w:r w:rsidRPr="00122550">
        <w:rPr>
          <w:rFonts w:ascii="Amasis MT Pro" w:hAnsi="Amasis MT Pro"/>
        </w:rPr>
        <w:t xml:space="preserve"> </w:t>
      </w:r>
      <w:r w:rsidR="00AA63F1">
        <w:rPr>
          <w:rFonts w:ascii="Amasis MT Pro" w:hAnsi="Amasis MT Pro"/>
        </w:rPr>
        <w:t xml:space="preserve">the </w:t>
      </w:r>
      <w:r w:rsidRPr="00122550">
        <w:rPr>
          <w:rFonts w:ascii="Amasis MT Pro" w:hAnsi="Amasis MT Pro"/>
        </w:rPr>
        <w:t xml:space="preserve">tax incentives. </w:t>
      </w:r>
    </w:p>
    <w:p w14:paraId="7C4AFFD2" w14:textId="345324B4" w:rsidR="006C5B0A" w:rsidRPr="00B831DD" w:rsidRDefault="006C5B0A" w:rsidP="00B831DD">
      <w:pPr>
        <w:pStyle w:val="ListParagraph"/>
        <w:numPr>
          <w:ilvl w:val="0"/>
          <w:numId w:val="17"/>
        </w:numPr>
        <w:spacing w:line="276" w:lineRule="auto"/>
        <w:ind w:left="1418" w:hanging="709"/>
        <w:jc w:val="both"/>
        <w:rPr>
          <w:rFonts w:ascii="Amasis MT Pro" w:hAnsi="Amasis MT Pro"/>
          <w:b/>
          <w:bCs/>
        </w:rPr>
      </w:pPr>
      <w:r w:rsidRPr="00B831DD">
        <w:rPr>
          <w:rFonts w:ascii="Amasis MT Pro" w:hAnsi="Amasis MT Pro"/>
          <w:b/>
          <w:bCs/>
        </w:rPr>
        <w:t>Composition of documents proving the conditions</w:t>
      </w:r>
      <w:r w:rsidR="004D7AC0" w:rsidRPr="00B831DD">
        <w:rPr>
          <w:rFonts w:ascii="Amasis MT Pro" w:hAnsi="Amasis MT Pro"/>
          <w:b/>
          <w:bCs/>
        </w:rPr>
        <w:t xml:space="preserve"> eligibility</w:t>
      </w:r>
    </w:p>
    <w:p w14:paraId="24964A7E" w14:textId="698E9343" w:rsidR="006C5B0A" w:rsidRPr="00122550" w:rsidRDefault="006C5B0A" w:rsidP="00B831DD">
      <w:pPr>
        <w:spacing w:line="276" w:lineRule="auto"/>
        <w:ind w:left="1418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>The necessary documents to prove that the enterprise has performed the stages in Section 2 above include:</w:t>
      </w:r>
    </w:p>
    <w:p w14:paraId="4723C97F" w14:textId="77777777" w:rsidR="00B831DD" w:rsidRDefault="006C5B0A" w:rsidP="00B831DD">
      <w:pPr>
        <w:spacing w:line="276" w:lineRule="auto"/>
        <w:ind w:left="1418"/>
        <w:jc w:val="both"/>
        <w:rPr>
          <w:rFonts w:ascii="Amasis MT Pro" w:hAnsi="Amasis MT Pro"/>
          <w:b/>
          <w:bCs/>
        </w:rPr>
      </w:pPr>
      <w:r w:rsidRPr="00122550">
        <w:rPr>
          <w:rFonts w:ascii="Amasis MT Pro" w:hAnsi="Amasis MT Pro"/>
          <w:b/>
          <w:bCs/>
        </w:rPr>
        <w:t>*For the Requirement Determination stage:</w:t>
      </w:r>
    </w:p>
    <w:p w14:paraId="1FBE2AB3" w14:textId="77777777" w:rsidR="00B831DD" w:rsidRPr="00B831DD" w:rsidRDefault="004D7AC0" w:rsidP="00B831DD">
      <w:pPr>
        <w:pStyle w:val="ListParagraph"/>
        <w:numPr>
          <w:ilvl w:val="0"/>
          <w:numId w:val="20"/>
        </w:numPr>
        <w:spacing w:line="276" w:lineRule="auto"/>
        <w:ind w:hanging="720"/>
        <w:jc w:val="both"/>
        <w:rPr>
          <w:rFonts w:ascii="Amasis MT Pro" w:hAnsi="Amasis MT Pro"/>
          <w:b/>
          <w:bCs/>
        </w:rPr>
      </w:pPr>
      <w:r w:rsidRPr="00B831DD">
        <w:rPr>
          <w:rFonts w:ascii="Amasis MT Pro" w:hAnsi="Amasis MT Pro"/>
        </w:rPr>
        <w:t xml:space="preserve">Description of </w:t>
      </w:r>
      <w:r w:rsidR="00FE4D8D" w:rsidRPr="00B831DD">
        <w:rPr>
          <w:rFonts w:ascii="Amasis MT Pro" w:hAnsi="Amasis MT Pro"/>
        </w:rPr>
        <w:t xml:space="preserve">idea of </w:t>
      </w:r>
      <w:r w:rsidR="00FE4D8D" w:rsidRPr="00B831DD">
        <w:rPr>
          <w:rFonts w:ascii="Times New Roman" w:hAnsi="Times New Roman" w:cs="Times New Roman"/>
        </w:rPr>
        <w:t>​​</w:t>
      </w:r>
      <w:r w:rsidR="00FE4D8D" w:rsidRPr="00B831DD">
        <w:rPr>
          <w:rFonts w:ascii="Amasis MT Pro" w:hAnsi="Amasis MT Pro"/>
        </w:rPr>
        <w:t xml:space="preserve"> product</w:t>
      </w:r>
      <w:r w:rsidRPr="00B831DD">
        <w:rPr>
          <w:rFonts w:ascii="Amasis MT Pro" w:hAnsi="Amasis MT Pro"/>
        </w:rPr>
        <w:t xml:space="preserve"> developing method</w:t>
      </w:r>
      <w:r w:rsidR="00FE4D8D" w:rsidRPr="00B831DD">
        <w:rPr>
          <w:rFonts w:ascii="Amasis MT Pro" w:hAnsi="Amasis MT Pro"/>
        </w:rPr>
        <w:t>;</w:t>
      </w:r>
    </w:p>
    <w:p w14:paraId="7D29E7B4" w14:textId="77777777" w:rsidR="00B831DD" w:rsidRDefault="00B831DD" w:rsidP="00B831DD">
      <w:pPr>
        <w:pStyle w:val="ListParagraph"/>
        <w:spacing w:line="276" w:lineRule="auto"/>
        <w:ind w:left="2138"/>
        <w:jc w:val="both"/>
        <w:rPr>
          <w:rFonts w:ascii="Amasis MT Pro" w:hAnsi="Amasis MT Pro"/>
          <w:b/>
          <w:bCs/>
        </w:rPr>
      </w:pPr>
    </w:p>
    <w:p w14:paraId="5A249C7B" w14:textId="77777777" w:rsidR="00B831DD" w:rsidRPr="00B831DD" w:rsidRDefault="00FE4D8D" w:rsidP="00B831DD">
      <w:pPr>
        <w:pStyle w:val="ListParagraph"/>
        <w:numPr>
          <w:ilvl w:val="0"/>
          <w:numId w:val="20"/>
        </w:numPr>
        <w:spacing w:line="276" w:lineRule="auto"/>
        <w:ind w:hanging="720"/>
        <w:jc w:val="both"/>
        <w:rPr>
          <w:rFonts w:ascii="Amasis MT Pro" w:hAnsi="Amasis MT Pro"/>
          <w:b/>
          <w:bCs/>
        </w:rPr>
      </w:pPr>
      <w:r w:rsidRPr="00B831DD">
        <w:rPr>
          <w:rFonts w:ascii="Amasis MT Pro" w:hAnsi="Amasis MT Pro"/>
        </w:rPr>
        <w:t>Description of product characteristics (requirements), product usage contexts;</w:t>
      </w:r>
    </w:p>
    <w:p w14:paraId="4D465CC6" w14:textId="77777777" w:rsidR="00B831DD" w:rsidRDefault="00B831DD" w:rsidP="00B831DD">
      <w:pPr>
        <w:pStyle w:val="ListParagraph"/>
        <w:spacing w:line="276" w:lineRule="auto"/>
        <w:ind w:left="2138"/>
        <w:jc w:val="both"/>
        <w:rPr>
          <w:rFonts w:ascii="Amasis MT Pro" w:hAnsi="Amasis MT Pro"/>
          <w:b/>
          <w:bCs/>
        </w:rPr>
      </w:pPr>
    </w:p>
    <w:p w14:paraId="61C663AB" w14:textId="77777777" w:rsidR="00B831DD" w:rsidRPr="00B831DD" w:rsidRDefault="00FE4D8D" w:rsidP="00B831DD">
      <w:pPr>
        <w:pStyle w:val="ListParagraph"/>
        <w:numPr>
          <w:ilvl w:val="0"/>
          <w:numId w:val="20"/>
        </w:numPr>
        <w:spacing w:line="276" w:lineRule="auto"/>
        <w:ind w:hanging="720"/>
        <w:jc w:val="both"/>
        <w:rPr>
          <w:rFonts w:ascii="Amasis MT Pro" w:hAnsi="Amasis MT Pro"/>
          <w:b/>
          <w:bCs/>
        </w:rPr>
      </w:pPr>
      <w:r w:rsidRPr="00B831DD">
        <w:rPr>
          <w:rFonts w:ascii="Amasis MT Pro" w:hAnsi="Amasis MT Pro"/>
        </w:rPr>
        <w:t xml:space="preserve">Description of proposals, survey results, </w:t>
      </w:r>
      <w:r w:rsidR="00CF36FC" w:rsidRPr="00B831DD">
        <w:rPr>
          <w:rFonts w:ascii="Amasis MT Pro" w:hAnsi="Amasis MT Pro"/>
        </w:rPr>
        <w:t xml:space="preserve">clarification </w:t>
      </w:r>
      <w:r w:rsidRPr="00B831DD">
        <w:rPr>
          <w:rFonts w:ascii="Amasis MT Pro" w:hAnsi="Amasis MT Pro"/>
        </w:rPr>
        <w:t xml:space="preserve">results and completing requirements for </w:t>
      </w:r>
      <w:r w:rsidR="00CF36FC" w:rsidRPr="00B831DD">
        <w:rPr>
          <w:rFonts w:ascii="Amasis MT Pro" w:hAnsi="Amasis MT Pro"/>
        </w:rPr>
        <w:t xml:space="preserve">the </w:t>
      </w:r>
      <w:r w:rsidRPr="00B831DD">
        <w:rPr>
          <w:rFonts w:ascii="Amasis MT Pro" w:hAnsi="Amasis MT Pro"/>
        </w:rPr>
        <w:t>products;</w:t>
      </w:r>
    </w:p>
    <w:p w14:paraId="47CB55BA" w14:textId="77777777" w:rsidR="00B831DD" w:rsidRDefault="00B831DD" w:rsidP="00B831DD">
      <w:pPr>
        <w:pStyle w:val="ListParagraph"/>
        <w:spacing w:line="276" w:lineRule="auto"/>
        <w:ind w:left="2138"/>
        <w:jc w:val="both"/>
        <w:rPr>
          <w:rFonts w:ascii="Amasis MT Pro" w:hAnsi="Amasis MT Pro"/>
          <w:b/>
          <w:bCs/>
        </w:rPr>
      </w:pPr>
    </w:p>
    <w:p w14:paraId="7E04BAAB" w14:textId="5847EAC7" w:rsidR="00B831DD" w:rsidRPr="00B831DD" w:rsidRDefault="00FE4D8D" w:rsidP="00B831DD">
      <w:pPr>
        <w:pStyle w:val="ListParagraph"/>
        <w:numPr>
          <w:ilvl w:val="0"/>
          <w:numId w:val="20"/>
        </w:numPr>
        <w:spacing w:line="276" w:lineRule="auto"/>
        <w:ind w:hanging="720"/>
        <w:jc w:val="both"/>
        <w:rPr>
          <w:rFonts w:ascii="Amasis MT Pro" w:hAnsi="Amasis MT Pro"/>
          <w:b/>
          <w:bCs/>
        </w:rPr>
      </w:pPr>
      <w:r w:rsidRPr="00B831DD">
        <w:rPr>
          <w:rFonts w:ascii="Amasis MT Pro" w:hAnsi="Amasis MT Pro"/>
        </w:rPr>
        <w:t>Description of detailed business analy</w:t>
      </w:r>
      <w:r w:rsidR="00B831DD">
        <w:rPr>
          <w:rFonts w:ascii="Amasis MT Pro" w:hAnsi="Amasis MT Pro"/>
        </w:rPr>
        <w:t>sis;</w:t>
      </w:r>
    </w:p>
    <w:p w14:paraId="6B87EACF" w14:textId="77777777" w:rsidR="00B831DD" w:rsidRDefault="00B831DD" w:rsidP="00B831DD">
      <w:pPr>
        <w:pStyle w:val="ListParagraph"/>
        <w:spacing w:line="276" w:lineRule="auto"/>
        <w:ind w:left="2138"/>
        <w:jc w:val="both"/>
        <w:rPr>
          <w:rFonts w:ascii="Amasis MT Pro" w:hAnsi="Amasis MT Pro"/>
          <w:b/>
          <w:bCs/>
        </w:rPr>
      </w:pPr>
    </w:p>
    <w:p w14:paraId="7E524961" w14:textId="3AB96FFB" w:rsidR="00B831DD" w:rsidRPr="00B831DD" w:rsidRDefault="00FE4D8D" w:rsidP="00B831DD">
      <w:pPr>
        <w:pStyle w:val="ListParagraph"/>
        <w:numPr>
          <w:ilvl w:val="0"/>
          <w:numId w:val="20"/>
        </w:numPr>
        <w:spacing w:line="276" w:lineRule="auto"/>
        <w:ind w:hanging="720"/>
        <w:jc w:val="both"/>
        <w:rPr>
          <w:rFonts w:ascii="Amasis MT Pro" w:hAnsi="Amasis MT Pro"/>
          <w:b/>
          <w:bCs/>
        </w:rPr>
      </w:pPr>
      <w:r w:rsidRPr="00B831DD">
        <w:rPr>
          <w:rFonts w:ascii="Amasis MT Pro" w:hAnsi="Amasis MT Pro"/>
        </w:rPr>
        <w:t>Description of comple</w:t>
      </w:r>
      <w:r w:rsidR="00B831DD">
        <w:rPr>
          <w:rFonts w:ascii="Amasis MT Pro" w:hAnsi="Amasis MT Pro"/>
        </w:rPr>
        <w:t>te requirements for the product;</w:t>
      </w:r>
    </w:p>
    <w:p w14:paraId="1C9FD4F5" w14:textId="77777777" w:rsidR="00B831DD" w:rsidRDefault="00B831DD" w:rsidP="00B831DD">
      <w:pPr>
        <w:pStyle w:val="ListParagraph"/>
        <w:spacing w:line="276" w:lineRule="auto"/>
        <w:ind w:left="2138"/>
        <w:jc w:val="both"/>
        <w:rPr>
          <w:rFonts w:ascii="Amasis MT Pro" w:hAnsi="Amasis MT Pro"/>
          <w:b/>
          <w:bCs/>
        </w:rPr>
      </w:pPr>
    </w:p>
    <w:p w14:paraId="38988C54" w14:textId="77777777" w:rsidR="00B831DD" w:rsidRPr="00B831DD" w:rsidRDefault="00FE4D8D" w:rsidP="00B831DD">
      <w:pPr>
        <w:pStyle w:val="ListParagraph"/>
        <w:numPr>
          <w:ilvl w:val="0"/>
          <w:numId w:val="20"/>
        </w:numPr>
        <w:spacing w:line="276" w:lineRule="auto"/>
        <w:ind w:hanging="720"/>
        <w:jc w:val="both"/>
        <w:rPr>
          <w:rFonts w:ascii="Amasis MT Pro" w:hAnsi="Amasis MT Pro"/>
          <w:b/>
          <w:bCs/>
        </w:rPr>
      </w:pPr>
      <w:r w:rsidRPr="00B831DD">
        <w:rPr>
          <w:rFonts w:ascii="Amasis MT Pro" w:hAnsi="Amasis MT Pro"/>
        </w:rPr>
        <w:t xml:space="preserve">Description of </w:t>
      </w:r>
      <w:r w:rsidR="004D7AC0" w:rsidRPr="00B831DD">
        <w:rPr>
          <w:rFonts w:ascii="Amasis MT Pro" w:hAnsi="Amasis MT Pro"/>
        </w:rPr>
        <w:t xml:space="preserve">consulting content of </w:t>
      </w:r>
      <w:r w:rsidRPr="00B831DD">
        <w:rPr>
          <w:rFonts w:ascii="Amasis MT Pro" w:hAnsi="Amasis MT Pro"/>
        </w:rPr>
        <w:t>process adjustment;</w:t>
      </w:r>
    </w:p>
    <w:p w14:paraId="3B0C0866" w14:textId="77777777" w:rsidR="00B831DD" w:rsidRDefault="00B831DD" w:rsidP="00B831DD">
      <w:pPr>
        <w:pStyle w:val="ListParagraph"/>
        <w:spacing w:line="276" w:lineRule="auto"/>
        <w:ind w:left="2138"/>
        <w:jc w:val="both"/>
        <w:rPr>
          <w:rFonts w:ascii="Amasis MT Pro" w:hAnsi="Amasis MT Pro"/>
          <w:b/>
          <w:bCs/>
        </w:rPr>
      </w:pPr>
    </w:p>
    <w:p w14:paraId="29F0E2F4" w14:textId="4F4C3EA4" w:rsidR="00FE4D8D" w:rsidRPr="00DF68E4" w:rsidRDefault="003C0836" w:rsidP="00B831DD">
      <w:pPr>
        <w:pStyle w:val="ListParagraph"/>
        <w:numPr>
          <w:ilvl w:val="0"/>
          <w:numId w:val="20"/>
        </w:numPr>
        <w:spacing w:line="276" w:lineRule="auto"/>
        <w:ind w:hanging="720"/>
        <w:jc w:val="both"/>
        <w:rPr>
          <w:rFonts w:ascii="Amasis MT Pro" w:hAnsi="Amasis MT Pro"/>
          <w:b/>
          <w:bCs/>
          <w:spacing w:val="-4"/>
        </w:rPr>
      </w:pPr>
      <w:r w:rsidRPr="00DF68E4">
        <w:rPr>
          <w:rFonts w:ascii="Amasis MT Pro" w:hAnsi="Amasis MT Pro"/>
          <w:spacing w:val="-4"/>
        </w:rPr>
        <w:t>R</w:t>
      </w:r>
      <w:r w:rsidR="00FE4D8D" w:rsidRPr="00DF68E4">
        <w:rPr>
          <w:rFonts w:ascii="Amasis MT Pro" w:hAnsi="Amasis MT Pro"/>
          <w:spacing w:val="-4"/>
        </w:rPr>
        <w:t xml:space="preserve">ecord of requirements </w:t>
      </w:r>
      <w:r w:rsidR="00FC368E" w:rsidRPr="00DF68E4">
        <w:rPr>
          <w:rFonts w:ascii="Amasis MT Pro" w:hAnsi="Amasis MT Pro"/>
          <w:spacing w:val="-4"/>
        </w:rPr>
        <w:t>unification,</w:t>
      </w:r>
      <w:r w:rsidR="00FE4D8D" w:rsidRPr="00DF68E4">
        <w:rPr>
          <w:rFonts w:ascii="Amasis MT Pro" w:hAnsi="Amasis MT Pro"/>
          <w:spacing w:val="-4"/>
        </w:rPr>
        <w:t xml:space="preserve"> r</w:t>
      </w:r>
      <w:bookmarkStart w:id="0" w:name="_GoBack"/>
      <w:bookmarkEnd w:id="0"/>
      <w:r w:rsidR="00FE4D8D" w:rsidRPr="00DF68E4">
        <w:rPr>
          <w:rFonts w:ascii="Amasis MT Pro" w:hAnsi="Amasis MT Pro"/>
          <w:spacing w:val="-4"/>
        </w:rPr>
        <w:t xml:space="preserve">equirements </w:t>
      </w:r>
      <w:r w:rsidR="00FC368E" w:rsidRPr="00DF68E4">
        <w:rPr>
          <w:rFonts w:ascii="Amasis MT Pro" w:hAnsi="Amasis MT Pro"/>
          <w:spacing w:val="-4"/>
        </w:rPr>
        <w:t>approval,</w:t>
      </w:r>
      <w:r w:rsidR="00FE4D8D" w:rsidRPr="00DF68E4">
        <w:rPr>
          <w:rFonts w:ascii="Amasis MT Pro" w:hAnsi="Amasis MT Pro"/>
          <w:spacing w:val="-4"/>
        </w:rPr>
        <w:t xml:space="preserve"> description of controllability and the basis for confirming compliance</w:t>
      </w:r>
      <w:r w:rsidR="005B7405" w:rsidRPr="00DF68E4">
        <w:rPr>
          <w:rFonts w:ascii="Amasis MT Pro" w:hAnsi="Amasis MT Pro"/>
          <w:spacing w:val="-4"/>
        </w:rPr>
        <w:t xml:space="preserve"> of </w:t>
      </w:r>
      <w:r w:rsidR="00CF36FC" w:rsidRPr="00DF68E4">
        <w:rPr>
          <w:rFonts w:ascii="Amasis MT Pro" w:hAnsi="Amasis MT Pro"/>
          <w:spacing w:val="-4"/>
        </w:rPr>
        <w:t xml:space="preserve">the </w:t>
      </w:r>
      <w:r w:rsidR="005B7405" w:rsidRPr="00DF68E4">
        <w:rPr>
          <w:rFonts w:ascii="Amasis MT Pro" w:hAnsi="Amasis MT Pro"/>
          <w:spacing w:val="-4"/>
        </w:rPr>
        <w:t>product requirements</w:t>
      </w:r>
      <w:r w:rsidR="00FE4D8D" w:rsidRPr="00DF68E4">
        <w:rPr>
          <w:rFonts w:ascii="Amasis MT Pro" w:hAnsi="Amasis MT Pro"/>
          <w:spacing w:val="-4"/>
        </w:rPr>
        <w:t>.</w:t>
      </w:r>
    </w:p>
    <w:p w14:paraId="75E97572" w14:textId="442297EC" w:rsidR="00FE4D8D" w:rsidRPr="00122550" w:rsidRDefault="00FE4D8D" w:rsidP="00A1121B">
      <w:pPr>
        <w:spacing w:line="276" w:lineRule="auto"/>
        <w:ind w:left="1418"/>
        <w:jc w:val="both"/>
        <w:rPr>
          <w:rFonts w:ascii="Amasis MT Pro" w:hAnsi="Amasis MT Pro"/>
          <w:b/>
          <w:bCs/>
        </w:rPr>
      </w:pPr>
      <w:r w:rsidRPr="00122550">
        <w:rPr>
          <w:rFonts w:ascii="Amasis MT Pro" w:hAnsi="Amasis MT Pro"/>
          <w:b/>
          <w:bCs/>
        </w:rPr>
        <w:t>*For Analysis and Design stage:</w:t>
      </w:r>
    </w:p>
    <w:p w14:paraId="6B77D55E" w14:textId="77777777" w:rsidR="00A1121B" w:rsidRDefault="00FE4D8D" w:rsidP="00A1121B">
      <w:pPr>
        <w:pStyle w:val="ListParagraph"/>
        <w:numPr>
          <w:ilvl w:val="0"/>
          <w:numId w:val="21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122550">
        <w:rPr>
          <w:rFonts w:ascii="Amasis MT Pro" w:hAnsi="Amasis MT Pro"/>
        </w:rPr>
        <w:t xml:space="preserve">Description of </w:t>
      </w:r>
      <w:r w:rsidR="004D7AC0" w:rsidRPr="00122550">
        <w:rPr>
          <w:rFonts w:ascii="Amasis MT Pro" w:hAnsi="Amasis MT Pro"/>
        </w:rPr>
        <w:t>requirement</w:t>
      </w:r>
      <w:r w:rsidRPr="00122550">
        <w:rPr>
          <w:rFonts w:ascii="Amasis MT Pro" w:hAnsi="Amasis MT Pro"/>
        </w:rPr>
        <w:t>;</w:t>
      </w:r>
    </w:p>
    <w:p w14:paraId="38D25FF7" w14:textId="77777777" w:rsidR="00A1121B" w:rsidRDefault="00A1121B" w:rsidP="00A1121B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14E4A3E2" w14:textId="77777777" w:rsidR="00A1121B" w:rsidRDefault="00FE4D8D" w:rsidP="00A1121B">
      <w:pPr>
        <w:pStyle w:val="ListParagraph"/>
        <w:numPr>
          <w:ilvl w:val="0"/>
          <w:numId w:val="21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A1121B">
        <w:rPr>
          <w:rFonts w:ascii="Amasis MT Pro" w:hAnsi="Amasis MT Pro"/>
        </w:rPr>
        <w:t xml:space="preserve">Description of </w:t>
      </w:r>
      <w:r w:rsidR="009A32ED" w:rsidRPr="00A1121B">
        <w:rPr>
          <w:rFonts w:ascii="Amasis MT Pro" w:hAnsi="Amasis MT Pro"/>
        </w:rPr>
        <w:t xml:space="preserve">developing </w:t>
      </w:r>
      <w:r w:rsidR="004D7AC0" w:rsidRPr="00A1121B">
        <w:rPr>
          <w:rFonts w:ascii="Amasis MT Pro" w:hAnsi="Amasis MT Pro"/>
        </w:rPr>
        <w:t>math</w:t>
      </w:r>
      <w:r w:rsidRPr="00A1121B">
        <w:rPr>
          <w:rFonts w:ascii="Amasis MT Pro" w:hAnsi="Amasis MT Pro"/>
        </w:rPr>
        <w:t>;</w:t>
      </w:r>
    </w:p>
    <w:p w14:paraId="35044C39" w14:textId="77777777" w:rsidR="00A1121B" w:rsidRDefault="00A1121B" w:rsidP="00A1121B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632B0132" w14:textId="77777777" w:rsidR="00821D31" w:rsidRDefault="004D7AC0" w:rsidP="00821D31">
      <w:pPr>
        <w:pStyle w:val="ListParagraph"/>
        <w:numPr>
          <w:ilvl w:val="0"/>
          <w:numId w:val="21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A1121B">
        <w:rPr>
          <w:rFonts w:ascii="Amasis MT Pro" w:hAnsi="Amasis MT Pro"/>
        </w:rPr>
        <w:t xml:space="preserve">Description of </w:t>
      </w:r>
      <w:r w:rsidR="00FE4D8D" w:rsidRPr="00A1121B">
        <w:rPr>
          <w:rFonts w:ascii="Amasis MT Pro" w:hAnsi="Amasis MT Pro"/>
        </w:rPr>
        <w:t xml:space="preserve">appropriate techniques implemented to optimize the solution, </w:t>
      </w:r>
      <w:r w:rsidR="00FC368E" w:rsidRPr="00A1121B">
        <w:rPr>
          <w:rFonts w:ascii="Amasis MT Pro" w:hAnsi="Amasis MT Pro"/>
        </w:rPr>
        <w:t>analyze</w:t>
      </w:r>
      <w:r w:rsidR="006E6745" w:rsidRPr="00A1121B">
        <w:rPr>
          <w:rFonts w:ascii="Amasis MT Pro" w:hAnsi="Amasis MT Pro"/>
        </w:rPr>
        <w:t xml:space="preserve"> </w:t>
      </w:r>
      <w:r w:rsidR="00FE4D8D" w:rsidRPr="00A1121B">
        <w:rPr>
          <w:rFonts w:ascii="Amasis MT Pro" w:hAnsi="Amasis MT Pro"/>
        </w:rPr>
        <w:t xml:space="preserve">correctness and </w:t>
      </w:r>
      <w:r w:rsidR="006E6745" w:rsidRPr="00A1121B">
        <w:rPr>
          <w:rFonts w:ascii="Amasis MT Pro" w:hAnsi="Amasis MT Pro"/>
        </w:rPr>
        <w:t xml:space="preserve">for </w:t>
      </w:r>
      <w:r w:rsidR="00FE4D8D" w:rsidRPr="00A1121B">
        <w:rPr>
          <w:rFonts w:ascii="Amasis MT Pro" w:hAnsi="Amasis MT Pro"/>
        </w:rPr>
        <w:t xml:space="preserve">testability of the software, influence </w:t>
      </w:r>
      <w:r w:rsidR="00D706F9" w:rsidRPr="00A1121B">
        <w:rPr>
          <w:rFonts w:ascii="Amasis MT Pro" w:hAnsi="Amasis MT Pro"/>
        </w:rPr>
        <w:t xml:space="preserve">analysis </w:t>
      </w:r>
      <w:r w:rsidR="00FE4D8D" w:rsidRPr="00A1121B">
        <w:rPr>
          <w:rFonts w:ascii="Amasis MT Pro" w:hAnsi="Amasis MT Pro"/>
        </w:rPr>
        <w:t xml:space="preserve">of the </w:t>
      </w:r>
      <w:r w:rsidR="00FE4D8D" w:rsidRPr="00A1121B">
        <w:rPr>
          <w:rFonts w:ascii="Amasis MT Pro" w:hAnsi="Amasis MT Pro"/>
        </w:rPr>
        <w:lastRenderedPageBreak/>
        <w:t>software requirements on the operating environment, list</w:t>
      </w:r>
      <w:r w:rsidR="00D706F9" w:rsidRPr="00A1121B">
        <w:rPr>
          <w:rFonts w:ascii="Amasis MT Pro" w:hAnsi="Amasis MT Pro"/>
        </w:rPr>
        <w:t>ing</w:t>
      </w:r>
      <w:r w:rsidR="00FE4D8D" w:rsidRPr="00A1121B">
        <w:rPr>
          <w:rFonts w:ascii="Amasis MT Pro" w:hAnsi="Amasis MT Pro"/>
        </w:rPr>
        <w:t xml:space="preserve"> the </w:t>
      </w:r>
      <w:r w:rsidR="00D706F9" w:rsidRPr="00A1121B">
        <w:rPr>
          <w:rFonts w:ascii="Amasis MT Pro" w:hAnsi="Amasis MT Pro"/>
        </w:rPr>
        <w:t xml:space="preserve">requirements </w:t>
      </w:r>
      <w:r w:rsidR="00FE4D8D" w:rsidRPr="00A1121B">
        <w:rPr>
          <w:rFonts w:ascii="Amasis MT Pro" w:hAnsi="Amasis MT Pro"/>
        </w:rPr>
        <w:t xml:space="preserve">prioritized, approved and updated </w:t>
      </w:r>
      <w:r w:rsidR="00D706F9" w:rsidRPr="00A1121B">
        <w:rPr>
          <w:rFonts w:ascii="Amasis MT Pro" w:hAnsi="Amasis MT Pro"/>
        </w:rPr>
        <w:t xml:space="preserve">when it is </w:t>
      </w:r>
      <w:r w:rsidR="00FE4D8D" w:rsidRPr="00A1121B">
        <w:rPr>
          <w:rFonts w:ascii="Amasis MT Pro" w:hAnsi="Amasis MT Pro"/>
        </w:rPr>
        <w:t>necessary;</w:t>
      </w:r>
    </w:p>
    <w:p w14:paraId="55E177E1" w14:textId="77777777" w:rsidR="00821D31" w:rsidRDefault="00821D31" w:rsidP="00821D31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48977B8A" w14:textId="77777777" w:rsidR="00821D31" w:rsidRDefault="00FE4D8D" w:rsidP="00821D31">
      <w:pPr>
        <w:pStyle w:val="ListParagraph"/>
        <w:numPr>
          <w:ilvl w:val="0"/>
          <w:numId w:val="21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821D31">
        <w:rPr>
          <w:rFonts w:ascii="Amasis MT Pro" w:hAnsi="Amasis MT Pro"/>
        </w:rPr>
        <w:t>Description of data model, functional model, information flow model;</w:t>
      </w:r>
    </w:p>
    <w:p w14:paraId="09E6A31B" w14:textId="77777777" w:rsidR="00821D31" w:rsidRDefault="00821D31" w:rsidP="00821D31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55F60C58" w14:textId="77777777" w:rsidR="00821D31" w:rsidRDefault="00FE4D8D" w:rsidP="00821D31">
      <w:pPr>
        <w:pStyle w:val="ListParagraph"/>
        <w:numPr>
          <w:ilvl w:val="0"/>
          <w:numId w:val="21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821D31">
        <w:rPr>
          <w:rFonts w:ascii="Amasis MT Pro" w:hAnsi="Amasis MT Pro"/>
        </w:rPr>
        <w:t>Description of the software solution;</w:t>
      </w:r>
    </w:p>
    <w:p w14:paraId="6CCE47AB" w14:textId="77777777" w:rsidR="00821D31" w:rsidRDefault="00821D31" w:rsidP="00821D31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43147D15" w14:textId="77777777" w:rsidR="00821D31" w:rsidRPr="000D6427" w:rsidRDefault="00FC368E" w:rsidP="00821D31">
      <w:pPr>
        <w:pStyle w:val="ListParagraph"/>
        <w:numPr>
          <w:ilvl w:val="0"/>
          <w:numId w:val="21"/>
        </w:numPr>
        <w:spacing w:line="276" w:lineRule="auto"/>
        <w:ind w:left="2127" w:hanging="709"/>
        <w:jc w:val="both"/>
        <w:rPr>
          <w:rFonts w:ascii="Amasis MT Pro" w:hAnsi="Amasis MT Pro"/>
          <w:spacing w:val="2"/>
        </w:rPr>
      </w:pPr>
      <w:r w:rsidRPr="000D6427">
        <w:rPr>
          <w:rFonts w:ascii="Amasis MT Pro" w:hAnsi="Amasis MT Pro"/>
          <w:spacing w:val="2"/>
        </w:rPr>
        <w:t>Design</w:t>
      </w:r>
      <w:r w:rsidR="0049592B" w:rsidRPr="000D6427">
        <w:rPr>
          <w:rFonts w:ascii="Amasis MT Pro" w:hAnsi="Amasis MT Pro"/>
          <w:spacing w:val="2"/>
        </w:rPr>
        <w:t xml:space="preserve"> </w:t>
      </w:r>
      <w:r w:rsidR="00CF36FC" w:rsidRPr="000D6427">
        <w:rPr>
          <w:rFonts w:ascii="Amasis MT Pro" w:hAnsi="Amasis MT Pro"/>
          <w:spacing w:val="2"/>
        </w:rPr>
        <w:t xml:space="preserve">of </w:t>
      </w:r>
      <w:r w:rsidR="0049592B" w:rsidRPr="000D6427">
        <w:rPr>
          <w:rFonts w:ascii="Amasis MT Pro" w:hAnsi="Amasis MT Pro"/>
          <w:spacing w:val="2"/>
        </w:rPr>
        <w:t>s</w:t>
      </w:r>
      <w:r w:rsidR="00FE4D8D" w:rsidRPr="000D6427">
        <w:rPr>
          <w:rFonts w:ascii="Amasis MT Pro" w:hAnsi="Amasis MT Pro"/>
          <w:spacing w:val="2"/>
        </w:rPr>
        <w:t xml:space="preserve">olution, software system, data, </w:t>
      </w:r>
      <w:r w:rsidR="0049592B" w:rsidRPr="000D6427">
        <w:rPr>
          <w:rFonts w:ascii="Amasis MT Pro" w:hAnsi="Amasis MT Pro"/>
          <w:spacing w:val="2"/>
        </w:rPr>
        <w:t>architecture</w:t>
      </w:r>
      <w:r w:rsidR="00FE4D8D" w:rsidRPr="000D6427">
        <w:rPr>
          <w:rFonts w:ascii="Amasis MT Pro" w:hAnsi="Amasis MT Pro"/>
          <w:spacing w:val="2"/>
        </w:rPr>
        <w:t>, unit</w:t>
      </w:r>
      <w:r w:rsidR="0049592B" w:rsidRPr="000D6427">
        <w:rPr>
          <w:rFonts w:ascii="Amasis MT Pro" w:hAnsi="Amasis MT Pro"/>
          <w:spacing w:val="2"/>
        </w:rPr>
        <w:t>s</w:t>
      </w:r>
      <w:r w:rsidR="00FE4D8D" w:rsidRPr="000D6427">
        <w:rPr>
          <w:rFonts w:ascii="Amasis MT Pro" w:hAnsi="Amasis MT Pro"/>
          <w:spacing w:val="2"/>
        </w:rPr>
        <w:t xml:space="preserve">, </w:t>
      </w:r>
      <w:r w:rsidR="00CF36FC" w:rsidRPr="000D6427">
        <w:rPr>
          <w:rFonts w:ascii="Amasis MT Pro" w:hAnsi="Amasis MT Pro"/>
          <w:spacing w:val="2"/>
        </w:rPr>
        <w:t xml:space="preserve">software </w:t>
      </w:r>
      <w:r w:rsidR="00FE4D8D" w:rsidRPr="000D6427">
        <w:rPr>
          <w:rFonts w:ascii="Amasis MT Pro" w:hAnsi="Amasis MT Pro"/>
          <w:spacing w:val="2"/>
        </w:rPr>
        <w:t>component module;</w:t>
      </w:r>
    </w:p>
    <w:p w14:paraId="5B4D761D" w14:textId="77777777" w:rsidR="00821D31" w:rsidRDefault="00821D31" w:rsidP="00821D31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296CB73F" w14:textId="77777777" w:rsidR="00821D31" w:rsidRDefault="00FE4D8D" w:rsidP="00821D31">
      <w:pPr>
        <w:pStyle w:val="ListParagraph"/>
        <w:numPr>
          <w:ilvl w:val="0"/>
          <w:numId w:val="21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821D31">
        <w:rPr>
          <w:rFonts w:ascii="Amasis MT Pro" w:hAnsi="Amasis MT Pro"/>
        </w:rPr>
        <w:t xml:space="preserve">Design </w:t>
      </w:r>
      <w:r w:rsidR="00CF36FC" w:rsidRPr="00821D31">
        <w:rPr>
          <w:rFonts w:ascii="Amasis MT Pro" w:hAnsi="Amasis MT Pro"/>
        </w:rPr>
        <w:t xml:space="preserve">of </w:t>
      </w:r>
      <w:r w:rsidRPr="00821D31">
        <w:rPr>
          <w:rFonts w:ascii="Amasis MT Pro" w:hAnsi="Amasis MT Pro"/>
        </w:rPr>
        <w:t>security and information</w:t>
      </w:r>
      <w:r w:rsidR="009A32ED" w:rsidRPr="00821D31">
        <w:rPr>
          <w:rFonts w:ascii="Amasis MT Pro" w:hAnsi="Amasis MT Pro"/>
        </w:rPr>
        <w:t xml:space="preserve"> safety</w:t>
      </w:r>
      <w:r w:rsidRPr="00821D31">
        <w:rPr>
          <w:rFonts w:ascii="Amasis MT Pro" w:hAnsi="Amasis MT Pro"/>
        </w:rPr>
        <w:t xml:space="preserve"> for software;</w:t>
      </w:r>
    </w:p>
    <w:p w14:paraId="116F9C5F" w14:textId="77777777" w:rsidR="00821D31" w:rsidRDefault="00821D31" w:rsidP="00821D31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544892A6" w14:textId="4ABEB697" w:rsidR="00FE4D8D" w:rsidRDefault="00FE4D8D" w:rsidP="00821D31">
      <w:pPr>
        <w:pStyle w:val="ListParagraph"/>
        <w:numPr>
          <w:ilvl w:val="0"/>
          <w:numId w:val="21"/>
        </w:numPr>
        <w:spacing w:line="276" w:lineRule="auto"/>
        <w:ind w:left="2127" w:hanging="709"/>
        <w:jc w:val="both"/>
        <w:rPr>
          <w:rFonts w:ascii="Amasis MT Pro" w:hAnsi="Amasis MT Pro"/>
        </w:rPr>
      </w:pPr>
      <w:r w:rsidRPr="00821D31">
        <w:rPr>
          <w:rFonts w:ascii="Amasis MT Pro" w:hAnsi="Amasis MT Pro"/>
        </w:rPr>
        <w:t xml:space="preserve">Design </w:t>
      </w:r>
      <w:r w:rsidR="00CF36FC" w:rsidRPr="00821D31">
        <w:rPr>
          <w:rFonts w:ascii="Amasis MT Pro" w:hAnsi="Amasis MT Pro"/>
        </w:rPr>
        <w:t xml:space="preserve">of </w:t>
      </w:r>
      <w:r w:rsidRPr="00821D31">
        <w:rPr>
          <w:rFonts w:ascii="Amasis MT Pro" w:hAnsi="Amasis MT Pro"/>
        </w:rPr>
        <w:t>customer experience interface.</w:t>
      </w:r>
    </w:p>
    <w:p w14:paraId="2DAAFB44" w14:textId="77777777" w:rsidR="00847A66" w:rsidRPr="00821D31" w:rsidRDefault="00847A66" w:rsidP="00847A66">
      <w:pPr>
        <w:pStyle w:val="ListParagraph"/>
        <w:spacing w:line="276" w:lineRule="auto"/>
        <w:ind w:left="2127"/>
        <w:jc w:val="both"/>
        <w:rPr>
          <w:rFonts w:ascii="Amasis MT Pro" w:hAnsi="Amasis MT Pro"/>
        </w:rPr>
      </w:pPr>
    </w:p>
    <w:p w14:paraId="48DB6FD8" w14:textId="6577428B" w:rsidR="00FE4D8D" w:rsidRPr="00847A66" w:rsidRDefault="00FE4D8D" w:rsidP="00847A66">
      <w:pPr>
        <w:pStyle w:val="ListParagraph"/>
        <w:numPr>
          <w:ilvl w:val="0"/>
          <w:numId w:val="17"/>
        </w:numPr>
        <w:spacing w:line="276" w:lineRule="auto"/>
        <w:ind w:left="1418" w:hanging="709"/>
        <w:jc w:val="both"/>
        <w:rPr>
          <w:rFonts w:ascii="Amasis MT Pro" w:hAnsi="Amasis MT Pro"/>
          <w:b/>
          <w:bCs/>
        </w:rPr>
      </w:pPr>
      <w:r w:rsidRPr="00847A66">
        <w:rPr>
          <w:rFonts w:ascii="Amasis MT Pro" w:hAnsi="Amasis MT Pro"/>
          <w:b/>
          <w:bCs/>
        </w:rPr>
        <w:t>Procedures</w:t>
      </w:r>
      <w:r w:rsidR="00BA4230" w:rsidRPr="00847A66">
        <w:rPr>
          <w:rFonts w:ascii="Amasis MT Pro" w:hAnsi="Amasis MT Pro"/>
          <w:b/>
          <w:bCs/>
        </w:rPr>
        <w:t xml:space="preserve"> for</w:t>
      </w:r>
      <w:r w:rsidRPr="00847A66">
        <w:rPr>
          <w:rFonts w:ascii="Amasis MT Pro" w:hAnsi="Amasis MT Pro"/>
          <w:b/>
          <w:bCs/>
        </w:rPr>
        <w:t xml:space="preserve"> </w:t>
      </w:r>
      <w:r w:rsidR="006E6745" w:rsidRPr="00847A66">
        <w:rPr>
          <w:rFonts w:ascii="Amasis MT Pro" w:hAnsi="Amasis MT Pro"/>
          <w:b/>
          <w:bCs/>
        </w:rPr>
        <w:t xml:space="preserve">enjoying </w:t>
      </w:r>
      <w:r w:rsidRPr="00847A66">
        <w:rPr>
          <w:rFonts w:ascii="Amasis MT Pro" w:hAnsi="Amasis MT Pro"/>
          <w:b/>
          <w:bCs/>
        </w:rPr>
        <w:t>CIT incentives</w:t>
      </w:r>
      <w:r w:rsidR="00BA4230" w:rsidRPr="00847A66">
        <w:rPr>
          <w:rFonts w:ascii="Amasis MT Pro" w:hAnsi="Amasis MT Pro"/>
          <w:b/>
          <w:bCs/>
        </w:rPr>
        <w:t xml:space="preserve"> </w:t>
      </w:r>
    </w:p>
    <w:p w14:paraId="7C931386" w14:textId="07D60BA7" w:rsidR="00FE4D8D" w:rsidRPr="00FC368E" w:rsidRDefault="00FE4D8D" w:rsidP="00847A66">
      <w:pPr>
        <w:spacing w:line="276" w:lineRule="auto"/>
        <w:ind w:left="1418"/>
        <w:jc w:val="both"/>
        <w:rPr>
          <w:rFonts w:ascii="Amasis MT Pro" w:hAnsi="Amasis MT Pro"/>
          <w:bCs/>
        </w:rPr>
      </w:pPr>
      <w:r w:rsidRPr="00FC368E">
        <w:rPr>
          <w:rFonts w:ascii="Amasis MT Pro" w:hAnsi="Amasis MT Pro"/>
          <w:bCs/>
        </w:rPr>
        <w:t xml:space="preserve">According to the provisions of Circular 78/2014/TT-BTC, the Company must separately calculate income </w:t>
      </w:r>
      <w:r w:rsidR="00FC368E" w:rsidRPr="00FC368E">
        <w:rPr>
          <w:rFonts w:ascii="Amasis MT Pro" w:hAnsi="Amasis MT Pro"/>
          <w:bCs/>
        </w:rPr>
        <w:t>from manufacturing</w:t>
      </w:r>
      <w:r w:rsidRPr="00FC368E">
        <w:rPr>
          <w:rFonts w:ascii="Amasis MT Pro" w:hAnsi="Amasis MT Pro"/>
          <w:bCs/>
        </w:rPr>
        <w:t xml:space="preserve"> and business activities entitled to </w:t>
      </w:r>
      <w:r w:rsidR="00BA4230" w:rsidRPr="00FC368E">
        <w:rPr>
          <w:rFonts w:ascii="Amasis MT Pro" w:hAnsi="Amasis MT Pro"/>
          <w:bCs/>
        </w:rPr>
        <w:t xml:space="preserve">the </w:t>
      </w:r>
      <w:r w:rsidRPr="00FC368E">
        <w:rPr>
          <w:rFonts w:ascii="Amasis MT Pro" w:hAnsi="Amasis MT Pro"/>
          <w:bCs/>
        </w:rPr>
        <w:t xml:space="preserve">CIT incentives and </w:t>
      </w:r>
      <w:r w:rsidR="006E6745" w:rsidRPr="00FC368E">
        <w:rPr>
          <w:rFonts w:ascii="Amasis MT Pro" w:hAnsi="Amasis MT Pro"/>
          <w:bCs/>
        </w:rPr>
        <w:t xml:space="preserve">the </w:t>
      </w:r>
      <w:r w:rsidRPr="00FC368E">
        <w:rPr>
          <w:rFonts w:ascii="Amasis MT Pro" w:hAnsi="Amasis MT Pro"/>
          <w:bCs/>
        </w:rPr>
        <w:t xml:space="preserve">income from </w:t>
      </w:r>
      <w:r w:rsidR="006E6745" w:rsidRPr="00FC368E">
        <w:rPr>
          <w:rFonts w:ascii="Amasis MT Pro" w:hAnsi="Amasis MT Pro"/>
          <w:bCs/>
        </w:rPr>
        <w:t xml:space="preserve">the </w:t>
      </w:r>
      <w:r w:rsidR="004B0C04" w:rsidRPr="00FC368E">
        <w:rPr>
          <w:rFonts w:ascii="Amasis MT Pro" w:hAnsi="Amasis MT Pro"/>
          <w:bCs/>
        </w:rPr>
        <w:t xml:space="preserve">manufacturing </w:t>
      </w:r>
      <w:r w:rsidRPr="00FC368E">
        <w:rPr>
          <w:rFonts w:ascii="Amasis MT Pro" w:hAnsi="Amasis MT Pro"/>
          <w:bCs/>
        </w:rPr>
        <w:t xml:space="preserve">and business activities not entitled to </w:t>
      </w:r>
      <w:r w:rsidR="00BA4230" w:rsidRPr="00FC368E">
        <w:rPr>
          <w:rFonts w:ascii="Amasis MT Pro" w:hAnsi="Amasis MT Pro"/>
          <w:bCs/>
        </w:rPr>
        <w:t xml:space="preserve">the </w:t>
      </w:r>
      <w:r w:rsidRPr="00FC368E">
        <w:rPr>
          <w:rFonts w:ascii="Amasis MT Pro" w:hAnsi="Amasis MT Pro"/>
          <w:bCs/>
        </w:rPr>
        <w:t>tax incentives to declare and pay taxes separately.</w:t>
      </w:r>
    </w:p>
    <w:p w14:paraId="26807E8E" w14:textId="6574FB14" w:rsidR="00FE4D8D" w:rsidRPr="00FC368E" w:rsidRDefault="00FE4D8D" w:rsidP="00847A66">
      <w:pPr>
        <w:spacing w:line="276" w:lineRule="auto"/>
        <w:ind w:left="1418"/>
        <w:jc w:val="both"/>
        <w:rPr>
          <w:rFonts w:ascii="Amasis MT Pro" w:hAnsi="Amasis MT Pro"/>
          <w:bCs/>
        </w:rPr>
      </w:pPr>
      <w:r w:rsidRPr="00FC368E">
        <w:rPr>
          <w:rFonts w:ascii="Amasis MT Pro" w:hAnsi="Amasis MT Pro"/>
          <w:bCs/>
        </w:rPr>
        <w:t>The company implements</w:t>
      </w:r>
      <w:r w:rsidR="00BA4230" w:rsidRPr="00FC368E">
        <w:rPr>
          <w:rFonts w:ascii="Amasis MT Pro" w:hAnsi="Amasis MT Pro"/>
          <w:bCs/>
        </w:rPr>
        <w:t xml:space="preserve"> conditions</w:t>
      </w:r>
      <w:r w:rsidRPr="00FC368E">
        <w:rPr>
          <w:rFonts w:ascii="Amasis MT Pro" w:hAnsi="Amasis MT Pro"/>
          <w:bCs/>
        </w:rPr>
        <w:t xml:space="preserve"> of accounting, invoices</w:t>
      </w:r>
      <w:r w:rsidR="00BA4230" w:rsidRPr="00FC368E">
        <w:rPr>
          <w:rFonts w:ascii="Amasis MT Pro" w:hAnsi="Amasis MT Pro"/>
          <w:bCs/>
        </w:rPr>
        <w:t>,</w:t>
      </w:r>
      <w:r w:rsidR="00122550" w:rsidRPr="00FC368E">
        <w:rPr>
          <w:rFonts w:ascii="Amasis MT Pro" w:hAnsi="Amasis MT Pro"/>
          <w:bCs/>
        </w:rPr>
        <w:t xml:space="preserve"> </w:t>
      </w:r>
      <w:r w:rsidR="00BA4230" w:rsidRPr="00FC368E">
        <w:rPr>
          <w:rFonts w:ascii="Amasis MT Pro" w:hAnsi="Amasis MT Pro"/>
          <w:bCs/>
        </w:rPr>
        <w:t xml:space="preserve">vouchers </w:t>
      </w:r>
      <w:r w:rsidRPr="00FC368E">
        <w:rPr>
          <w:rFonts w:ascii="Amasis MT Pro" w:hAnsi="Amasis MT Pro"/>
          <w:bCs/>
        </w:rPr>
        <w:t xml:space="preserve">and pays </w:t>
      </w:r>
      <w:r w:rsidR="00BA4230" w:rsidRPr="00FC368E">
        <w:rPr>
          <w:rFonts w:ascii="Amasis MT Pro" w:hAnsi="Amasis MT Pro"/>
          <w:bCs/>
        </w:rPr>
        <w:t xml:space="preserve">the </w:t>
      </w:r>
      <w:r w:rsidRPr="00FC368E">
        <w:rPr>
          <w:rFonts w:ascii="Amasis MT Pro" w:hAnsi="Amasis MT Pro"/>
          <w:bCs/>
        </w:rPr>
        <w:t>corporate income tax according to the declaration to be eligible for</w:t>
      </w:r>
      <w:r w:rsidR="00BA4230" w:rsidRPr="00FC368E">
        <w:rPr>
          <w:rFonts w:ascii="Amasis MT Pro" w:hAnsi="Amasis MT Pro"/>
          <w:bCs/>
        </w:rPr>
        <w:t xml:space="preserve"> the</w:t>
      </w:r>
      <w:r w:rsidRPr="00FC368E">
        <w:rPr>
          <w:rFonts w:ascii="Amasis MT Pro" w:hAnsi="Amasis MT Pro"/>
          <w:bCs/>
        </w:rPr>
        <w:t xml:space="preserve"> incentives.</w:t>
      </w:r>
    </w:p>
    <w:p w14:paraId="4DA33DF6" w14:textId="54712A1C" w:rsidR="00122550" w:rsidRPr="00FC368E" w:rsidRDefault="00FE4D8D" w:rsidP="00847A66">
      <w:pPr>
        <w:spacing w:line="276" w:lineRule="auto"/>
        <w:ind w:left="1418"/>
        <w:jc w:val="both"/>
        <w:rPr>
          <w:rFonts w:ascii="Amasis MT Pro" w:hAnsi="Amasis MT Pro"/>
          <w:bCs/>
        </w:rPr>
      </w:pPr>
      <w:r w:rsidRPr="00FC368E">
        <w:rPr>
          <w:rFonts w:ascii="Amasis MT Pro" w:hAnsi="Amasis MT Pro"/>
          <w:bCs/>
        </w:rPr>
        <w:t xml:space="preserve">The company determines itself the tax incentives and preferential CIT rates to be entitled to for self-declaration and tax finalization with the tax authorities. The tax authority only </w:t>
      </w:r>
      <w:r w:rsidR="000D7540" w:rsidRPr="00FC368E">
        <w:rPr>
          <w:rFonts w:ascii="Amasis MT Pro" w:hAnsi="Amasis MT Pro"/>
          <w:bCs/>
        </w:rPr>
        <w:t xml:space="preserve">checks </w:t>
      </w:r>
      <w:r w:rsidRPr="00FC368E">
        <w:rPr>
          <w:rFonts w:ascii="Amasis MT Pro" w:hAnsi="Amasis MT Pro"/>
          <w:bCs/>
        </w:rPr>
        <w:t xml:space="preserve">and inspects </w:t>
      </w:r>
      <w:r w:rsidR="00FC368E" w:rsidRPr="00FC368E">
        <w:rPr>
          <w:rFonts w:ascii="Amasis MT Pro" w:hAnsi="Amasis MT Pro"/>
          <w:bCs/>
        </w:rPr>
        <w:t>the satisfaction</w:t>
      </w:r>
      <w:r w:rsidRPr="00FC368E">
        <w:rPr>
          <w:rFonts w:ascii="Amasis MT Pro" w:hAnsi="Amasis MT Pro"/>
          <w:bCs/>
        </w:rPr>
        <w:t xml:space="preserve"> of the above conditions of the enterprise and in case the inspection</w:t>
      </w:r>
      <w:r w:rsidR="00BA4230" w:rsidRPr="00FC368E">
        <w:rPr>
          <w:rFonts w:ascii="Amasis MT Pro" w:hAnsi="Amasis MT Pro"/>
          <w:bCs/>
        </w:rPr>
        <w:t xml:space="preserve"> expresses</w:t>
      </w:r>
      <w:r w:rsidRPr="00FC368E">
        <w:rPr>
          <w:rFonts w:ascii="Amasis MT Pro" w:hAnsi="Amasis MT Pro"/>
          <w:bCs/>
        </w:rPr>
        <w:t xml:space="preserve"> that the enterprise does not meet the conditions for tax incentives</w:t>
      </w:r>
      <w:r w:rsidR="0049592B" w:rsidRPr="00FC368E">
        <w:rPr>
          <w:rFonts w:ascii="Amasis MT Pro" w:hAnsi="Amasis MT Pro"/>
          <w:bCs/>
        </w:rPr>
        <w:t xml:space="preserve"> enjoyment</w:t>
      </w:r>
      <w:r w:rsidRPr="00FC368E">
        <w:rPr>
          <w:rFonts w:ascii="Amasis MT Pro" w:hAnsi="Amasis MT Pro"/>
          <w:bCs/>
        </w:rPr>
        <w:t>, the tax authority will handle tax arrears and</w:t>
      </w:r>
      <w:r w:rsidR="00122550" w:rsidRPr="00FC368E">
        <w:rPr>
          <w:rFonts w:ascii="Amasis MT Pro" w:hAnsi="Amasis MT Pro"/>
          <w:bCs/>
        </w:rPr>
        <w:t xml:space="preserve"> </w:t>
      </w:r>
      <w:r w:rsidR="00A46086" w:rsidRPr="00FC368E">
        <w:rPr>
          <w:rFonts w:ascii="Amasis MT Pro" w:hAnsi="Amasis MT Pro"/>
          <w:bCs/>
        </w:rPr>
        <w:t>penalizes</w:t>
      </w:r>
      <w:r w:rsidR="0049592B" w:rsidRPr="00FC368E">
        <w:rPr>
          <w:rFonts w:ascii="Amasis MT Pro" w:hAnsi="Amasis MT Pro"/>
          <w:bCs/>
        </w:rPr>
        <w:t xml:space="preserve"> </w:t>
      </w:r>
      <w:r w:rsidR="000D7540" w:rsidRPr="00FC368E">
        <w:rPr>
          <w:rFonts w:ascii="Amasis MT Pro" w:hAnsi="Amasis MT Pro"/>
          <w:bCs/>
        </w:rPr>
        <w:t xml:space="preserve">for </w:t>
      </w:r>
      <w:r w:rsidR="0049592B" w:rsidRPr="00FC368E">
        <w:rPr>
          <w:rFonts w:ascii="Amasis MT Pro" w:hAnsi="Amasis MT Pro"/>
          <w:bCs/>
        </w:rPr>
        <w:t xml:space="preserve">the </w:t>
      </w:r>
      <w:r w:rsidRPr="00FC368E">
        <w:rPr>
          <w:rFonts w:ascii="Amasis MT Pro" w:hAnsi="Amasis MT Pro"/>
          <w:bCs/>
        </w:rPr>
        <w:t>tax-related administrative violations in accordance with relevant Laws.</w:t>
      </w:r>
    </w:p>
    <w:p w14:paraId="1469483F" w14:textId="342F6CBC" w:rsidR="00A46086" w:rsidRPr="00A46086" w:rsidRDefault="00A46086" w:rsidP="00122550">
      <w:pPr>
        <w:spacing w:line="276" w:lineRule="auto"/>
        <w:jc w:val="right"/>
        <w:rPr>
          <w:rFonts w:ascii="Amasis MT Pro" w:hAnsi="Amasis MT Pro"/>
          <w:b/>
          <w:bCs/>
          <w:i/>
        </w:rPr>
      </w:pPr>
      <w:r w:rsidRPr="00A46086">
        <w:rPr>
          <w:rFonts w:ascii="Amasis MT Pro" w:hAnsi="Amasis MT Pro"/>
          <w:b/>
          <w:bCs/>
          <w:i/>
        </w:rPr>
        <w:t xml:space="preserve">Le Tien </w:t>
      </w:r>
      <w:proofErr w:type="spellStart"/>
      <w:r w:rsidRPr="00A46086">
        <w:rPr>
          <w:rFonts w:ascii="Amasis MT Pro" w:hAnsi="Amasis MT Pro"/>
          <w:b/>
          <w:bCs/>
          <w:i/>
        </w:rPr>
        <w:t>Dat</w:t>
      </w:r>
      <w:proofErr w:type="spellEnd"/>
      <w:r w:rsidRPr="00A46086">
        <w:rPr>
          <w:rFonts w:ascii="Amasis MT Pro" w:hAnsi="Amasis MT Pro"/>
          <w:b/>
          <w:bCs/>
          <w:i/>
        </w:rPr>
        <w:t xml:space="preserve"> – Ngo Mau Hoang</w:t>
      </w:r>
    </w:p>
    <w:p w14:paraId="26CC50BD" w14:textId="7599ACA0" w:rsidR="00176DDA" w:rsidRPr="00122550" w:rsidRDefault="00FE4D8D" w:rsidP="00122550">
      <w:pPr>
        <w:spacing w:line="276" w:lineRule="auto"/>
        <w:jc w:val="right"/>
        <w:rPr>
          <w:rFonts w:ascii="Amasis MT Pro" w:hAnsi="Amasis MT Pro"/>
          <w:b/>
          <w:bCs/>
          <w:u w:val="single"/>
        </w:rPr>
      </w:pPr>
      <w:r w:rsidRPr="00122550">
        <w:rPr>
          <w:rFonts w:ascii="Amasis MT Pro" w:hAnsi="Amasis MT Pro"/>
          <w:b/>
          <w:bCs/>
          <w:u w:val="single"/>
        </w:rPr>
        <w:t xml:space="preserve">ADK &amp; Co Vietnam Lawyers </w:t>
      </w:r>
    </w:p>
    <w:p w14:paraId="6D9D619C" w14:textId="77777777" w:rsidR="00DE0EB0" w:rsidRPr="00122550" w:rsidRDefault="00DE0EB0" w:rsidP="00122550">
      <w:pPr>
        <w:spacing w:line="276" w:lineRule="auto"/>
        <w:jc w:val="both"/>
        <w:rPr>
          <w:rFonts w:ascii="Amasis MT Pro" w:hAnsi="Amasis MT Pro"/>
          <w:b/>
          <w:bCs/>
        </w:rPr>
      </w:pPr>
    </w:p>
    <w:p w14:paraId="1A08FCCB" w14:textId="77777777" w:rsidR="00D12537" w:rsidRPr="00122550" w:rsidRDefault="00D12537" w:rsidP="00122550">
      <w:pPr>
        <w:spacing w:line="276" w:lineRule="auto"/>
        <w:jc w:val="both"/>
        <w:rPr>
          <w:rFonts w:ascii="Amasis MT Pro" w:hAnsi="Amasis MT Pro"/>
        </w:rPr>
      </w:pPr>
    </w:p>
    <w:p w14:paraId="00B2FA64" w14:textId="77777777" w:rsidR="008C7110" w:rsidRPr="00122550" w:rsidRDefault="008C7110" w:rsidP="00122550">
      <w:pPr>
        <w:spacing w:line="276" w:lineRule="auto"/>
        <w:jc w:val="both"/>
        <w:rPr>
          <w:rFonts w:ascii="Amasis MT Pro" w:hAnsi="Amasis MT Pro"/>
        </w:rPr>
      </w:pPr>
    </w:p>
    <w:sectPr w:rsidR="008C7110" w:rsidRPr="00122550" w:rsidSect="001B18D8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36630" w14:textId="77777777" w:rsidR="0088542E" w:rsidRDefault="0088542E" w:rsidP="00B375BC">
      <w:pPr>
        <w:spacing w:after="0" w:line="240" w:lineRule="auto"/>
      </w:pPr>
      <w:r>
        <w:separator/>
      </w:r>
    </w:p>
  </w:endnote>
  <w:endnote w:type="continuationSeparator" w:id="0">
    <w:p w14:paraId="059CFE84" w14:textId="77777777" w:rsidR="0088542E" w:rsidRDefault="0088542E" w:rsidP="00B3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C010" w14:textId="5CBF8431" w:rsidR="00B375BC" w:rsidRDefault="001B18D8" w:rsidP="001B18D8">
    <w:pPr>
      <w:pStyle w:val="Footer"/>
      <w:ind w:left="-1440"/>
    </w:pPr>
    <w:r>
      <w:rPr>
        <w:noProof/>
      </w:rPr>
      <w:drawing>
        <wp:inline distT="0" distB="0" distL="0" distR="0" wp14:anchorId="3A3F3B85" wp14:editId="1B8545CB">
          <wp:extent cx="7759700" cy="1238250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CC080" w14:textId="77777777" w:rsidR="0088542E" w:rsidRDefault="0088542E" w:rsidP="00B375BC">
      <w:pPr>
        <w:spacing w:after="0" w:line="240" w:lineRule="auto"/>
      </w:pPr>
      <w:r>
        <w:separator/>
      </w:r>
    </w:p>
  </w:footnote>
  <w:footnote w:type="continuationSeparator" w:id="0">
    <w:p w14:paraId="0297D206" w14:textId="77777777" w:rsidR="0088542E" w:rsidRDefault="0088542E" w:rsidP="00B3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105F2" w14:textId="395D3652" w:rsidR="00B375BC" w:rsidRDefault="00B375BC" w:rsidP="00B375BC">
    <w:pPr>
      <w:pStyle w:val="Header"/>
      <w:ind w:left="-1440"/>
    </w:pPr>
    <w:r>
      <w:rPr>
        <w:noProof/>
      </w:rPr>
      <w:drawing>
        <wp:inline distT="0" distB="0" distL="0" distR="0" wp14:anchorId="47F9CB98" wp14:editId="0ADEC2C8">
          <wp:extent cx="7759700" cy="1479550"/>
          <wp:effectExtent l="0" t="0" r="0" b="6350"/>
          <wp:docPr id="35" name="Picture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20" b="30294"/>
                  <a:stretch/>
                </pic:blipFill>
                <pic:spPr bwMode="auto">
                  <a:xfrm>
                    <a:off x="0" y="0"/>
                    <a:ext cx="7769362" cy="1481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3F8"/>
    <w:multiLevelType w:val="hybridMultilevel"/>
    <w:tmpl w:val="5680D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367"/>
    <w:multiLevelType w:val="hybridMultilevel"/>
    <w:tmpl w:val="60BEB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FF145B"/>
    <w:multiLevelType w:val="hybridMultilevel"/>
    <w:tmpl w:val="A8B6DFC4"/>
    <w:lvl w:ilvl="0" w:tplc="41C6BB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D6ADA"/>
    <w:multiLevelType w:val="hybridMultilevel"/>
    <w:tmpl w:val="356CC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4A13"/>
    <w:multiLevelType w:val="hybridMultilevel"/>
    <w:tmpl w:val="13889D4A"/>
    <w:lvl w:ilvl="0" w:tplc="2B4E9F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B02A0"/>
    <w:multiLevelType w:val="hybridMultilevel"/>
    <w:tmpl w:val="AC9A2AA4"/>
    <w:lvl w:ilvl="0" w:tplc="7A86C42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24661"/>
    <w:multiLevelType w:val="hybridMultilevel"/>
    <w:tmpl w:val="9A42492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85612"/>
    <w:multiLevelType w:val="hybridMultilevel"/>
    <w:tmpl w:val="7BF4ACD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DE77BA8"/>
    <w:multiLevelType w:val="hybridMultilevel"/>
    <w:tmpl w:val="5A76E616"/>
    <w:lvl w:ilvl="0" w:tplc="7A86C42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90024"/>
    <w:multiLevelType w:val="hybridMultilevel"/>
    <w:tmpl w:val="BA4A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849B1"/>
    <w:multiLevelType w:val="hybridMultilevel"/>
    <w:tmpl w:val="93686388"/>
    <w:lvl w:ilvl="0" w:tplc="7A86C42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34A42"/>
    <w:multiLevelType w:val="hybridMultilevel"/>
    <w:tmpl w:val="F55A29E6"/>
    <w:lvl w:ilvl="0" w:tplc="44B0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23032"/>
    <w:multiLevelType w:val="hybridMultilevel"/>
    <w:tmpl w:val="45B0DAEE"/>
    <w:lvl w:ilvl="0" w:tplc="625A94C8">
      <w:start w:val="1"/>
      <w:numFmt w:val="bullet"/>
      <w:lvlText w:val="-"/>
      <w:lvlJc w:val="left"/>
      <w:pPr>
        <w:ind w:left="720" w:hanging="360"/>
      </w:pPr>
      <w:rPr>
        <w:rFonts w:ascii="Amasis MT Pro" w:eastAsiaTheme="minorHAnsi" w:hAnsi="Amasis M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150CD"/>
    <w:multiLevelType w:val="hybridMultilevel"/>
    <w:tmpl w:val="43B04926"/>
    <w:lvl w:ilvl="0" w:tplc="7A86C42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1C4"/>
    <w:multiLevelType w:val="hybridMultilevel"/>
    <w:tmpl w:val="4D52CC4C"/>
    <w:lvl w:ilvl="0" w:tplc="3EFA4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915F1"/>
    <w:multiLevelType w:val="hybridMultilevel"/>
    <w:tmpl w:val="F98AE4C4"/>
    <w:lvl w:ilvl="0" w:tplc="7A86C42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34517"/>
    <w:multiLevelType w:val="hybridMultilevel"/>
    <w:tmpl w:val="74101670"/>
    <w:lvl w:ilvl="0" w:tplc="7A86C42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328AE"/>
    <w:multiLevelType w:val="hybridMultilevel"/>
    <w:tmpl w:val="CBC24A5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0B634DA"/>
    <w:multiLevelType w:val="hybridMultilevel"/>
    <w:tmpl w:val="54B4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2EFF"/>
    <w:multiLevelType w:val="multilevel"/>
    <w:tmpl w:val="AB44D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92C69FE"/>
    <w:multiLevelType w:val="hybridMultilevel"/>
    <w:tmpl w:val="2934F8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4"/>
  </w:num>
  <w:num w:numId="5">
    <w:abstractNumId w:val="18"/>
  </w:num>
  <w:num w:numId="6">
    <w:abstractNumId w:val="12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  <w:num w:numId="15">
    <w:abstractNumId w:val="16"/>
  </w:num>
  <w:num w:numId="16">
    <w:abstractNumId w:val="2"/>
  </w:num>
  <w:num w:numId="17">
    <w:abstractNumId w:val="0"/>
  </w:num>
  <w:num w:numId="18">
    <w:abstractNumId w:val="7"/>
  </w:num>
  <w:num w:numId="19">
    <w:abstractNumId w:val="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21"/>
    <w:rsid w:val="00005621"/>
    <w:rsid w:val="00011207"/>
    <w:rsid w:val="00012FF9"/>
    <w:rsid w:val="000211F6"/>
    <w:rsid w:val="00027743"/>
    <w:rsid w:val="00040113"/>
    <w:rsid w:val="000666E0"/>
    <w:rsid w:val="00076EDC"/>
    <w:rsid w:val="00082475"/>
    <w:rsid w:val="000D6427"/>
    <w:rsid w:val="000D7540"/>
    <w:rsid w:val="000E4774"/>
    <w:rsid w:val="00117C01"/>
    <w:rsid w:val="00122550"/>
    <w:rsid w:val="00151DB8"/>
    <w:rsid w:val="00174831"/>
    <w:rsid w:val="00176DDA"/>
    <w:rsid w:val="00191899"/>
    <w:rsid w:val="001A0BCC"/>
    <w:rsid w:val="001B18D8"/>
    <w:rsid w:val="001B58CF"/>
    <w:rsid w:val="00247A53"/>
    <w:rsid w:val="00263C19"/>
    <w:rsid w:val="00267DF4"/>
    <w:rsid w:val="00281BC7"/>
    <w:rsid w:val="002C1DAA"/>
    <w:rsid w:val="002C6AF5"/>
    <w:rsid w:val="002E512D"/>
    <w:rsid w:val="002F7528"/>
    <w:rsid w:val="003112BA"/>
    <w:rsid w:val="00312D85"/>
    <w:rsid w:val="00314006"/>
    <w:rsid w:val="00322786"/>
    <w:rsid w:val="00330A43"/>
    <w:rsid w:val="00333558"/>
    <w:rsid w:val="003923C2"/>
    <w:rsid w:val="003961DC"/>
    <w:rsid w:val="003A3118"/>
    <w:rsid w:val="003A4A70"/>
    <w:rsid w:val="003C0836"/>
    <w:rsid w:val="003C627C"/>
    <w:rsid w:val="003D224F"/>
    <w:rsid w:val="003E0A94"/>
    <w:rsid w:val="003E619C"/>
    <w:rsid w:val="004324D4"/>
    <w:rsid w:val="0046166F"/>
    <w:rsid w:val="00462E78"/>
    <w:rsid w:val="0049592B"/>
    <w:rsid w:val="004B0C04"/>
    <w:rsid w:val="004D50A5"/>
    <w:rsid w:val="004D7AC0"/>
    <w:rsid w:val="004E229D"/>
    <w:rsid w:val="0051053C"/>
    <w:rsid w:val="005630FD"/>
    <w:rsid w:val="00565EC3"/>
    <w:rsid w:val="005810CA"/>
    <w:rsid w:val="005B7405"/>
    <w:rsid w:val="005C6C57"/>
    <w:rsid w:val="005D7755"/>
    <w:rsid w:val="00602837"/>
    <w:rsid w:val="00614A24"/>
    <w:rsid w:val="00624332"/>
    <w:rsid w:val="00647EB7"/>
    <w:rsid w:val="00656B61"/>
    <w:rsid w:val="00673E5A"/>
    <w:rsid w:val="006928D2"/>
    <w:rsid w:val="006C0048"/>
    <w:rsid w:val="006C5B0A"/>
    <w:rsid w:val="006E6745"/>
    <w:rsid w:val="00700D7C"/>
    <w:rsid w:val="00733F64"/>
    <w:rsid w:val="00760857"/>
    <w:rsid w:val="007612F0"/>
    <w:rsid w:val="00763EE4"/>
    <w:rsid w:val="007A0423"/>
    <w:rsid w:val="007A6DD6"/>
    <w:rsid w:val="007C5306"/>
    <w:rsid w:val="007D39E0"/>
    <w:rsid w:val="0081631F"/>
    <w:rsid w:val="00821D31"/>
    <w:rsid w:val="008449C2"/>
    <w:rsid w:val="00847A66"/>
    <w:rsid w:val="008519D7"/>
    <w:rsid w:val="00870DB0"/>
    <w:rsid w:val="00881654"/>
    <w:rsid w:val="0088542E"/>
    <w:rsid w:val="008A0B15"/>
    <w:rsid w:val="008A2445"/>
    <w:rsid w:val="008C7110"/>
    <w:rsid w:val="008D1726"/>
    <w:rsid w:val="008F3971"/>
    <w:rsid w:val="0090342A"/>
    <w:rsid w:val="00907F6C"/>
    <w:rsid w:val="00914199"/>
    <w:rsid w:val="0092641A"/>
    <w:rsid w:val="009935EA"/>
    <w:rsid w:val="009A32ED"/>
    <w:rsid w:val="009A4B26"/>
    <w:rsid w:val="009A7243"/>
    <w:rsid w:val="009B6206"/>
    <w:rsid w:val="009F4EAC"/>
    <w:rsid w:val="00A1121B"/>
    <w:rsid w:val="00A141DB"/>
    <w:rsid w:val="00A2093F"/>
    <w:rsid w:val="00A21BFC"/>
    <w:rsid w:val="00A22813"/>
    <w:rsid w:val="00A24A8E"/>
    <w:rsid w:val="00A24AB1"/>
    <w:rsid w:val="00A3747B"/>
    <w:rsid w:val="00A46086"/>
    <w:rsid w:val="00A71DDA"/>
    <w:rsid w:val="00A8281F"/>
    <w:rsid w:val="00A97C9A"/>
    <w:rsid w:val="00AA63F1"/>
    <w:rsid w:val="00AB36A3"/>
    <w:rsid w:val="00AB5E06"/>
    <w:rsid w:val="00AD4652"/>
    <w:rsid w:val="00AD6327"/>
    <w:rsid w:val="00AF668A"/>
    <w:rsid w:val="00B11630"/>
    <w:rsid w:val="00B219F6"/>
    <w:rsid w:val="00B375BC"/>
    <w:rsid w:val="00B469DE"/>
    <w:rsid w:val="00B47A15"/>
    <w:rsid w:val="00B56E8B"/>
    <w:rsid w:val="00B67AAE"/>
    <w:rsid w:val="00B7688E"/>
    <w:rsid w:val="00B81AA2"/>
    <w:rsid w:val="00B831DD"/>
    <w:rsid w:val="00BA197F"/>
    <w:rsid w:val="00BA3238"/>
    <w:rsid w:val="00BA4230"/>
    <w:rsid w:val="00BD7B29"/>
    <w:rsid w:val="00BF6143"/>
    <w:rsid w:val="00C12526"/>
    <w:rsid w:val="00C227A1"/>
    <w:rsid w:val="00C45FA0"/>
    <w:rsid w:val="00C92FD1"/>
    <w:rsid w:val="00CD4BB9"/>
    <w:rsid w:val="00CE585B"/>
    <w:rsid w:val="00CE7922"/>
    <w:rsid w:val="00CF36FC"/>
    <w:rsid w:val="00D12537"/>
    <w:rsid w:val="00D15EF2"/>
    <w:rsid w:val="00D33E52"/>
    <w:rsid w:val="00D5691A"/>
    <w:rsid w:val="00D706F9"/>
    <w:rsid w:val="00D77151"/>
    <w:rsid w:val="00D85935"/>
    <w:rsid w:val="00D87565"/>
    <w:rsid w:val="00DB52A6"/>
    <w:rsid w:val="00DD49BF"/>
    <w:rsid w:val="00DE0EB0"/>
    <w:rsid w:val="00DF5157"/>
    <w:rsid w:val="00DF68E4"/>
    <w:rsid w:val="00E13A27"/>
    <w:rsid w:val="00E42C0E"/>
    <w:rsid w:val="00E5129B"/>
    <w:rsid w:val="00E90AA1"/>
    <w:rsid w:val="00E963CA"/>
    <w:rsid w:val="00EA74C5"/>
    <w:rsid w:val="00EB6EBE"/>
    <w:rsid w:val="00ED16C9"/>
    <w:rsid w:val="00F14339"/>
    <w:rsid w:val="00F3227D"/>
    <w:rsid w:val="00F4768E"/>
    <w:rsid w:val="00F62565"/>
    <w:rsid w:val="00FC368E"/>
    <w:rsid w:val="00FC398E"/>
    <w:rsid w:val="00FC43D9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1F284"/>
  <w15:chartTrackingRefBased/>
  <w15:docId w15:val="{62ECFC68-B89A-4CFC-9E4D-251FDD1E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BC"/>
  </w:style>
  <w:style w:type="paragraph" w:styleId="Footer">
    <w:name w:val="footer"/>
    <w:basedOn w:val="Normal"/>
    <w:link w:val="FooterChar"/>
    <w:uiPriority w:val="99"/>
    <w:unhideWhenUsed/>
    <w:rsid w:val="00B3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BC"/>
  </w:style>
  <w:style w:type="paragraph" w:styleId="ListParagraph">
    <w:name w:val="List Paragraph"/>
    <w:basedOn w:val="Normal"/>
    <w:uiPriority w:val="34"/>
    <w:qFormat/>
    <w:rsid w:val="00AD6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8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08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3F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0A77BB236A242AF6B793A55C71521" ma:contentTypeVersion="13" ma:contentTypeDescription="Create a new document." ma:contentTypeScope="" ma:versionID="ecbe05aa38dff5cacfe90ae955cb14f8">
  <xsd:schema xmlns:xsd="http://www.w3.org/2001/XMLSchema" xmlns:xs="http://www.w3.org/2001/XMLSchema" xmlns:p="http://schemas.microsoft.com/office/2006/metadata/properties" xmlns:ns2="efcb16b9-a914-4449-99f5-e45da9820376" xmlns:ns3="966a634a-965c-466f-9078-b4da2c87ba6b" targetNamespace="http://schemas.microsoft.com/office/2006/metadata/properties" ma:root="true" ma:fieldsID="126e9d19fba0e5bdca73a01f485336e6" ns2:_="" ns3:_="">
    <xsd:import namespace="efcb16b9-a914-4449-99f5-e45da9820376"/>
    <xsd:import namespace="966a634a-965c-466f-9078-b4da2c87ba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16b9-a914-4449-99f5-e45da9820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634a-965c-466f-9078-b4da2c87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4199-3618-4743-B343-AEDFBDD21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E1AEE-E9E3-4E02-8A1E-723A46A77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3F278-4CE6-44D9-9636-CAD704D0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16b9-a914-4449-99f5-e45da9820376"/>
    <ds:schemaRef ds:uri="966a634a-965c-466f-9078-b4da2c87b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8E9E8-1948-49C0-9525-D9664599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 Hoang (ADK Lawyers)</dc:creator>
  <cp:keywords/>
  <dc:description/>
  <cp:lastModifiedBy>Windows User</cp:lastModifiedBy>
  <cp:revision>247</cp:revision>
  <dcterms:created xsi:type="dcterms:W3CDTF">2021-05-21T01:56:00Z</dcterms:created>
  <dcterms:modified xsi:type="dcterms:W3CDTF">2021-08-11T03:03:00Z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0x010100EE70A77BB236A242AF6B793A55C71521</vt:lpwstr>
  </property>
</Properties>
</file>