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95" w:rsidRPr="00646256" w:rsidRDefault="00C52795">
      <w:pPr>
        <w:spacing w:line="252" w:lineRule="auto"/>
        <w:rPr>
          <w:rFonts w:ascii="Cambria" w:eastAsia="Arial" w:hAnsi="Cambria" w:cs="Arial"/>
          <w:sz w:val="22"/>
          <w:szCs w:val="22"/>
        </w:rPr>
      </w:pPr>
    </w:p>
    <w:p w:rsidR="00C52795" w:rsidRPr="00646256" w:rsidRDefault="00124469" w:rsidP="00646256">
      <w:pPr>
        <w:spacing w:line="252" w:lineRule="auto"/>
        <w:jc w:val="center"/>
        <w:rPr>
          <w:rFonts w:ascii="Cambria" w:eastAsia="Arial" w:hAnsi="Cambria" w:cs="Arial"/>
          <w:b/>
          <w:sz w:val="22"/>
          <w:szCs w:val="22"/>
        </w:rPr>
      </w:pPr>
      <w:r w:rsidRPr="00646256">
        <w:rPr>
          <w:rFonts w:ascii="Cambria" w:eastAsia="Arial" w:hAnsi="Cambria" w:cs="Arial"/>
          <w:b/>
          <w:sz w:val="22"/>
          <w:szCs w:val="22"/>
        </w:rPr>
        <w:t>CAN FOREIGN-INVESTED ENTERPRISES USE LAND IN VIETNAM?</w:t>
      </w:r>
    </w:p>
    <w:p w:rsidR="00C52795" w:rsidRPr="00646256" w:rsidRDefault="00C52795">
      <w:pPr>
        <w:spacing w:line="252" w:lineRule="auto"/>
        <w:rPr>
          <w:rFonts w:ascii="Cambria" w:eastAsia="Arial" w:hAnsi="Cambria" w:cs="Arial"/>
          <w:sz w:val="22"/>
          <w:szCs w:val="22"/>
        </w:rPr>
      </w:pPr>
    </w:p>
    <w:p w:rsidR="00C52795" w:rsidRPr="00646256" w:rsidRDefault="00124469">
      <w:pPr>
        <w:spacing w:line="252" w:lineRule="auto"/>
        <w:jc w:val="both"/>
        <w:rPr>
          <w:rFonts w:ascii="Cambria" w:eastAsia="Arial" w:hAnsi="Cambria" w:cs="Arial"/>
          <w:sz w:val="22"/>
          <w:szCs w:val="22"/>
        </w:rPr>
      </w:pPr>
      <w:r w:rsidRPr="00646256">
        <w:rPr>
          <w:rFonts w:ascii="Cambria" w:eastAsia="Arial" w:hAnsi="Cambria" w:cs="Arial"/>
          <w:sz w:val="22"/>
          <w:szCs w:val="22"/>
        </w:rPr>
        <w:t>According to the provisions of the law on land, Enterprises with foreign investment capital comprising enterprises with 100% foreign-owned capital, joint venture enterprises, and Vietnamese enterprises in which a foreign investor purchases shares or merges</w:t>
      </w:r>
      <w:r w:rsidRPr="00646256">
        <w:rPr>
          <w:rFonts w:ascii="Cambria" w:eastAsia="Arial" w:hAnsi="Cambria" w:cs="Arial"/>
          <w:sz w:val="22"/>
          <w:szCs w:val="22"/>
        </w:rPr>
        <w:t xml:space="preserve"> and acquires under the law on investment (Article 3.7 Law on Land 2013)</w:t>
      </w:r>
    </w:p>
    <w:p w:rsidR="00C52795" w:rsidRPr="00646256" w:rsidRDefault="00C52795">
      <w:pPr>
        <w:spacing w:line="252" w:lineRule="auto"/>
        <w:jc w:val="both"/>
        <w:rPr>
          <w:rFonts w:ascii="Cambria" w:eastAsia="Arial" w:hAnsi="Cambria" w:cs="Arial"/>
          <w:sz w:val="22"/>
          <w:szCs w:val="22"/>
        </w:rPr>
      </w:pPr>
    </w:p>
    <w:p w:rsidR="00C52795" w:rsidRPr="00646256" w:rsidRDefault="00124469">
      <w:pPr>
        <w:spacing w:line="252" w:lineRule="auto"/>
        <w:jc w:val="both"/>
        <w:rPr>
          <w:rFonts w:ascii="Cambria" w:eastAsia="Arial" w:hAnsi="Cambria" w:cs="Arial"/>
          <w:sz w:val="22"/>
          <w:szCs w:val="22"/>
        </w:rPr>
      </w:pPr>
      <w:r w:rsidRPr="00646256">
        <w:rPr>
          <w:rFonts w:ascii="Cambria" w:eastAsia="Arial" w:hAnsi="Cambria" w:cs="Arial"/>
          <w:sz w:val="22"/>
          <w:szCs w:val="22"/>
        </w:rPr>
        <w:t>Foreign-invested enterprises can use land in Vietnam in the following ways:</w:t>
      </w:r>
    </w:p>
    <w:p w:rsidR="00C52795" w:rsidRPr="00646256" w:rsidRDefault="00C52795">
      <w:pPr>
        <w:spacing w:line="252" w:lineRule="auto"/>
        <w:jc w:val="both"/>
        <w:rPr>
          <w:rFonts w:ascii="Cambria" w:hAnsi="Cambria"/>
          <w:sz w:val="22"/>
          <w:szCs w:val="22"/>
        </w:rPr>
      </w:pPr>
    </w:p>
    <w:p w:rsidR="00C52795" w:rsidRPr="00646256" w:rsidRDefault="00124469" w:rsidP="00646256">
      <w:pPr>
        <w:pStyle w:val="ListParagraph"/>
        <w:numPr>
          <w:ilvl w:val="0"/>
          <w:numId w:val="7"/>
        </w:numPr>
        <w:spacing w:line="252" w:lineRule="auto"/>
        <w:ind w:hanging="720"/>
        <w:jc w:val="both"/>
        <w:rPr>
          <w:rFonts w:ascii="Cambria" w:eastAsia="Arial" w:hAnsi="Cambria" w:cs="Arial"/>
          <w:b/>
          <w:sz w:val="22"/>
          <w:szCs w:val="22"/>
        </w:rPr>
      </w:pPr>
      <w:r w:rsidRPr="00646256">
        <w:rPr>
          <w:rFonts w:ascii="Cambria" w:eastAsia="Arial" w:hAnsi="Cambria" w:cs="Arial"/>
          <w:b/>
          <w:sz w:val="22"/>
          <w:szCs w:val="22"/>
        </w:rPr>
        <w:t>Through the form of land allocation by the State</w:t>
      </w:r>
    </w:p>
    <w:p w:rsidR="00C52795" w:rsidRPr="00646256" w:rsidRDefault="00C52795">
      <w:pPr>
        <w:spacing w:line="252" w:lineRule="auto"/>
        <w:jc w:val="both"/>
        <w:rPr>
          <w:rFonts w:ascii="Cambria" w:eastAsia="Arial" w:hAnsi="Cambria" w:cs="Arial"/>
          <w:b/>
          <w:sz w:val="22"/>
          <w:szCs w:val="22"/>
        </w:rPr>
      </w:pPr>
    </w:p>
    <w:p w:rsidR="00C52795" w:rsidRPr="00646256" w:rsidRDefault="00124469" w:rsidP="00646256">
      <w:pPr>
        <w:spacing w:line="252" w:lineRule="auto"/>
        <w:ind w:left="709"/>
        <w:jc w:val="both"/>
        <w:rPr>
          <w:rFonts w:ascii="Cambria" w:eastAsia="Arial" w:hAnsi="Cambria" w:cs="Arial"/>
          <w:sz w:val="22"/>
          <w:szCs w:val="22"/>
        </w:rPr>
      </w:pPr>
      <w:r w:rsidRPr="00646256">
        <w:rPr>
          <w:rFonts w:ascii="Cambria" w:eastAsia="Arial" w:hAnsi="Cambria" w:cs="Arial"/>
          <w:sz w:val="22"/>
          <w:szCs w:val="22"/>
        </w:rPr>
        <w:t>Foreign-invested enterprises may be allocated land b</w:t>
      </w:r>
      <w:r w:rsidRPr="00646256">
        <w:rPr>
          <w:rFonts w:ascii="Cambria" w:eastAsia="Arial" w:hAnsi="Cambria" w:cs="Arial"/>
          <w:sz w:val="22"/>
          <w:szCs w:val="22"/>
        </w:rPr>
        <w:t>y the State through the following forms:</w:t>
      </w:r>
    </w:p>
    <w:p w:rsidR="00C52795" w:rsidRPr="00646256" w:rsidRDefault="00C52795">
      <w:pPr>
        <w:spacing w:line="252" w:lineRule="auto"/>
        <w:jc w:val="both"/>
        <w:rPr>
          <w:rFonts w:ascii="Cambria" w:eastAsia="Arial" w:hAnsi="Cambria" w:cs="Arial"/>
          <w:sz w:val="22"/>
          <w:szCs w:val="22"/>
        </w:rPr>
      </w:pPr>
    </w:p>
    <w:p w:rsidR="00C52795" w:rsidRPr="00646256" w:rsidRDefault="00124469" w:rsidP="00646256">
      <w:pPr>
        <w:numPr>
          <w:ilvl w:val="0"/>
          <w:numId w:val="1"/>
        </w:numPr>
        <w:spacing w:line="252" w:lineRule="auto"/>
        <w:ind w:left="1418" w:hanging="709"/>
        <w:jc w:val="both"/>
        <w:rPr>
          <w:rFonts w:ascii="Cambria" w:hAnsi="Cambria"/>
          <w:sz w:val="22"/>
          <w:szCs w:val="22"/>
        </w:rPr>
      </w:pPr>
      <w:r w:rsidRPr="00646256">
        <w:rPr>
          <w:rFonts w:ascii="Cambria" w:eastAsia="Arial" w:hAnsi="Cambria" w:cs="Arial"/>
          <w:sz w:val="22"/>
          <w:szCs w:val="22"/>
        </w:rPr>
        <w:t>Allocation of land with collection of land use fees to implement investment projects for construction of residential housing for purposes of sale or sale in association with leasing out ( Article 55.3 Law on Land 2</w:t>
      </w:r>
      <w:r w:rsidRPr="00646256">
        <w:rPr>
          <w:rFonts w:ascii="Cambria" w:eastAsia="Arial" w:hAnsi="Cambria" w:cs="Arial"/>
          <w:sz w:val="22"/>
          <w:szCs w:val="22"/>
        </w:rPr>
        <w:t>013)</w:t>
      </w:r>
    </w:p>
    <w:p w:rsidR="00C52795" w:rsidRPr="00646256" w:rsidRDefault="00C52795" w:rsidP="00646256">
      <w:pPr>
        <w:spacing w:line="252" w:lineRule="auto"/>
        <w:ind w:left="1418" w:hanging="709"/>
        <w:jc w:val="both"/>
        <w:rPr>
          <w:rFonts w:ascii="Cambria" w:eastAsia="Arial" w:hAnsi="Cambria" w:cs="Arial"/>
          <w:sz w:val="22"/>
          <w:szCs w:val="22"/>
        </w:rPr>
      </w:pPr>
    </w:p>
    <w:p w:rsidR="00C52795" w:rsidRPr="00646256" w:rsidRDefault="00124469" w:rsidP="00646256">
      <w:pPr>
        <w:numPr>
          <w:ilvl w:val="0"/>
          <w:numId w:val="1"/>
        </w:numPr>
        <w:spacing w:line="252" w:lineRule="auto"/>
        <w:ind w:left="1418" w:hanging="709"/>
        <w:jc w:val="both"/>
        <w:rPr>
          <w:rFonts w:ascii="Cambria" w:hAnsi="Cambria"/>
          <w:sz w:val="22"/>
          <w:szCs w:val="22"/>
        </w:rPr>
      </w:pPr>
      <w:r w:rsidRPr="00646256">
        <w:rPr>
          <w:rFonts w:ascii="Cambria" w:eastAsia="Arial" w:hAnsi="Cambria" w:cs="Arial"/>
          <w:sz w:val="22"/>
          <w:szCs w:val="22"/>
        </w:rPr>
        <w:t>Foreign-invested enterprises may lease land from the State without collection of land use fees where land is used for construction of underground facilities, not for business purposes (Article 57.2 of Decree No. 43/2014/ND-CP of the Government)</w:t>
      </w:r>
    </w:p>
    <w:p w:rsidR="00C52795" w:rsidRPr="00646256" w:rsidRDefault="00C52795" w:rsidP="00646256">
      <w:pPr>
        <w:spacing w:line="252" w:lineRule="auto"/>
        <w:ind w:left="1418" w:hanging="709"/>
        <w:jc w:val="both"/>
        <w:rPr>
          <w:rFonts w:ascii="Cambria" w:eastAsia="Arial" w:hAnsi="Cambria" w:cs="Arial"/>
          <w:sz w:val="22"/>
          <w:szCs w:val="22"/>
        </w:rPr>
      </w:pPr>
    </w:p>
    <w:p w:rsidR="00C52795" w:rsidRPr="00646256" w:rsidRDefault="00124469" w:rsidP="00646256">
      <w:pPr>
        <w:pStyle w:val="ListParagraph"/>
        <w:numPr>
          <w:ilvl w:val="0"/>
          <w:numId w:val="7"/>
        </w:numPr>
        <w:spacing w:line="252" w:lineRule="auto"/>
        <w:ind w:hanging="720"/>
        <w:jc w:val="both"/>
        <w:rPr>
          <w:rFonts w:ascii="Cambria" w:eastAsia="Arial" w:hAnsi="Cambria" w:cs="Arial"/>
          <w:b/>
          <w:sz w:val="22"/>
          <w:szCs w:val="22"/>
        </w:rPr>
      </w:pPr>
      <w:r w:rsidRPr="00646256">
        <w:rPr>
          <w:rFonts w:ascii="Cambria" w:eastAsia="Arial" w:hAnsi="Cambria" w:cs="Arial"/>
          <w:b/>
          <w:sz w:val="22"/>
          <w:szCs w:val="22"/>
        </w:rPr>
        <w:t>T</w:t>
      </w:r>
      <w:r w:rsidRPr="00646256">
        <w:rPr>
          <w:rFonts w:ascii="Cambria" w:eastAsia="Arial" w:hAnsi="Cambria" w:cs="Arial"/>
          <w:b/>
          <w:sz w:val="22"/>
          <w:szCs w:val="22"/>
        </w:rPr>
        <w:t>hrough the form of the land lease by the State</w:t>
      </w:r>
    </w:p>
    <w:p w:rsidR="00C52795" w:rsidRPr="00646256" w:rsidRDefault="00C52795">
      <w:pPr>
        <w:spacing w:line="252" w:lineRule="auto"/>
        <w:jc w:val="both"/>
        <w:rPr>
          <w:rFonts w:ascii="Cambria" w:eastAsia="Arial" w:hAnsi="Cambria" w:cs="Arial"/>
          <w:b/>
          <w:sz w:val="22"/>
          <w:szCs w:val="22"/>
        </w:rPr>
      </w:pPr>
    </w:p>
    <w:p w:rsidR="00C52795" w:rsidRPr="00646256" w:rsidRDefault="00124469" w:rsidP="00646256">
      <w:pPr>
        <w:spacing w:line="252" w:lineRule="auto"/>
        <w:ind w:left="709"/>
        <w:jc w:val="both"/>
        <w:rPr>
          <w:rFonts w:ascii="Cambria" w:eastAsia="Arial" w:hAnsi="Cambria" w:cs="Arial"/>
          <w:sz w:val="22"/>
          <w:szCs w:val="22"/>
        </w:rPr>
      </w:pPr>
      <w:r w:rsidRPr="00646256">
        <w:rPr>
          <w:rFonts w:ascii="Cambria" w:eastAsia="Arial" w:hAnsi="Cambria" w:cs="Arial"/>
          <w:sz w:val="22"/>
          <w:szCs w:val="22"/>
        </w:rPr>
        <w:t>The State allows foreign-invested enterprises to lease land with collection of annual land rent or a one-off payment of rent for the entire lease term to:</w:t>
      </w:r>
    </w:p>
    <w:p w:rsidR="00C52795" w:rsidRPr="00646256" w:rsidRDefault="00C52795">
      <w:pPr>
        <w:spacing w:line="252" w:lineRule="auto"/>
        <w:jc w:val="both"/>
        <w:rPr>
          <w:rFonts w:ascii="Cambria" w:eastAsia="Arial" w:hAnsi="Cambria" w:cs="Arial"/>
          <w:sz w:val="22"/>
          <w:szCs w:val="22"/>
        </w:rPr>
      </w:pPr>
    </w:p>
    <w:p w:rsidR="00C52795" w:rsidRPr="00646256" w:rsidRDefault="00124469" w:rsidP="00646256">
      <w:pPr>
        <w:numPr>
          <w:ilvl w:val="0"/>
          <w:numId w:val="6"/>
        </w:numPr>
        <w:spacing w:line="252" w:lineRule="auto"/>
        <w:ind w:left="1418" w:hanging="709"/>
        <w:jc w:val="both"/>
        <w:rPr>
          <w:rFonts w:ascii="Cambria" w:hAnsi="Cambria"/>
          <w:sz w:val="22"/>
          <w:szCs w:val="22"/>
        </w:rPr>
      </w:pPr>
      <w:r w:rsidRPr="00646256">
        <w:rPr>
          <w:rFonts w:ascii="Cambria" w:eastAsia="Arial" w:hAnsi="Cambria" w:cs="Arial"/>
          <w:sz w:val="22"/>
          <w:szCs w:val="22"/>
        </w:rPr>
        <w:t>Implement investment projects in agricultural produc</w:t>
      </w:r>
      <w:r w:rsidRPr="00646256">
        <w:rPr>
          <w:rFonts w:ascii="Cambria" w:eastAsia="Arial" w:hAnsi="Cambria" w:cs="Arial"/>
          <w:sz w:val="22"/>
          <w:szCs w:val="22"/>
        </w:rPr>
        <w:t>tion, forestry, aquaculture, or salt production; land for non-agricultural business and production; land for construction of community (public utility) buildings for business purposes; and land to implement investment projects for residential housing to le</w:t>
      </w:r>
      <w:r w:rsidRPr="00646256">
        <w:rPr>
          <w:rFonts w:ascii="Cambria" w:eastAsia="Arial" w:hAnsi="Cambria" w:cs="Arial"/>
          <w:sz w:val="22"/>
          <w:szCs w:val="22"/>
        </w:rPr>
        <w:t>ase out ( Article 56.1.[d] Law on Land 2013);</w:t>
      </w:r>
    </w:p>
    <w:p w:rsidR="00C52795" w:rsidRPr="00646256" w:rsidRDefault="00C52795" w:rsidP="00646256">
      <w:pPr>
        <w:spacing w:line="252" w:lineRule="auto"/>
        <w:ind w:left="1418" w:hanging="709"/>
        <w:jc w:val="both"/>
        <w:rPr>
          <w:rFonts w:ascii="Cambria" w:eastAsia="Arial" w:hAnsi="Cambria" w:cs="Arial"/>
          <w:sz w:val="22"/>
          <w:szCs w:val="22"/>
        </w:rPr>
      </w:pPr>
    </w:p>
    <w:p w:rsidR="00C52795" w:rsidRPr="00646256" w:rsidRDefault="00124469" w:rsidP="00646256">
      <w:pPr>
        <w:numPr>
          <w:ilvl w:val="0"/>
          <w:numId w:val="6"/>
        </w:numPr>
        <w:spacing w:line="252" w:lineRule="auto"/>
        <w:ind w:left="1418" w:hanging="709"/>
        <w:jc w:val="both"/>
        <w:rPr>
          <w:rFonts w:ascii="Cambria" w:hAnsi="Cambria"/>
          <w:sz w:val="22"/>
          <w:szCs w:val="22"/>
        </w:rPr>
      </w:pPr>
      <w:r w:rsidRPr="00646256">
        <w:rPr>
          <w:rFonts w:ascii="Cambria" w:eastAsia="Arial" w:hAnsi="Cambria" w:cs="Arial"/>
          <w:sz w:val="22"/>
          <w:szCs w:val="22"/>
        </w:rPr>
        <w:t>Using land for construction of works of professional institutions (Article 56.1.[e] Law on Land 2013); or</w:t>
      </w:r>
    </w:p>
    <w:p w:rsidR="00C52795" w:rsidRPr="00646256" w:rsidRDefault="00C52795" w:rsidP="00646256">
      <w:pPr>
        <w:spacing w:line="252" w:lineRule="auto"/>
        <w:ind w:left="1418" w:hanging="709"/>
        <w:jc w:val="both"/>
        <w:rPr>
          <w:rFonts w:ascii="Cambria" w:eastAsia="Arial" w:hAnsi="Cambria" w:cs="Arial"/>
          <w:sz w:val="22"/>
          <w:szCs w:val="22"/>
        </w:rPr>
      </w:pPr>
    </w:p>
    <w:p w:rsidR="00C52795" w:rsidRPr="00646256" w:rsidRDefault="00124469" w:rsidP="00646256">
      <w:pPr>
        <w:numPr>
          <w:ilvl w:val="0"/>
          <w:numId w:val="6"/>
        </w:numPr>
        <w:spacing w:line="252" w:lineRule="auto"/>
        <w:ind w:left="1418" w:hanging="709"/>
        <w:jc w:val="both"/>
        <w:rPr>
          <w:rFonts w:ascii="Cambria" w:eastAsia="Arial" w:hAnsi="Cambria" w:cs="Arial"/>
          <w:sz w:val="22"/>
          <w:szCs w:val="22"/>
        </w:rPr>
      </w:pPr>
      <w:r w:rsidRPr="00646256">
        <w:rPr>
          <w:rFonts w:ascii="Cambria" w:eastAsia="Arial" w:hAnsi="Cambria" w:cs="Arial"/>
          <w:sz w:val="22"/>
          <w:szCs w:val="22"/>
        </w:rPr>
        <w:t>Renting law for construction of underground facilities for business purposes (Article 57.1 of Decree No. 43/2014/ND-CP of the Government).</w:t>
      </w:r>
    </w:p>
    <w:p w:rsidR="00C52795" w:rsidRPr="00646256" w:rsidRDefault="00C52795">
      <w:pPr>
        <w:spacing w:line="252" w:lineRule="auto"/>
        <w:jc w:val="both"/>
        <w:rPr>
          <w:rFonts w:ascii="Cambria" w:eastAsia="Arial" w:hAnsi="Cambria" w:cs="Arial"/>
          <w:sz w:val="22"/>
          <w:szCs w:val="22"/>
        </w:rPr>
      </w:pPr>
    </w:p>
    <w:p w:rsidR="00C52795" w:rsidRPr="00623D16" w:rsidRDefault="00124469" w:rsidP="00623D16">
      <w:pPr>
        <w:pStyle w:val="ListParagraph"/>
        <w:numPr>
          <w:ilvl w:val="0"/>
          <w:numId w:val="7"/>
        </w:numPr>
        <w:spacing w:line="252" w:lineRule="auto"/>
        <w:ind w:hanging="720"/>
        <w:jc w:val="both"/>
        <w:rPr>
          <w:rFonts w:ascii="Cambria" w:eastAsia="Arial" w:hAnsi="Cambria" w:cs="Arial"/>
          <w:b/>
          <w:sz w:val="22"/>
          <w:szCs w:val="22"/>
        </w:rPr>
      </w:pPr>
      <w:r w:rsidRPr="00623D16">
        <w:rPr>
          <w:rFonts w:ascii="Cambria" w:eastAsia="Arial" w:hAnsi="Cambria" w:cs="Arial"/>
          <w:b/>
          <w:sz w:val="22"/>
          <w:szCs w:val="22"/>
        </w:rPr>
        <w:t>Through some form of indirection</w:t>
      </w:r>
    </w:p>
    <w:p w:rsidR="00C52795" w:rsidRPr="00646256" w:rsidRDefault="00C52795">
      <w:pPr>
        <w:spacing w:line="252" w:lineRule="auto"/>
        <w:jc w:val="both"/>
        <w:rPr>
          <w:rFonts w:ascii="Cambria" w:eastAsia="Arial" w:hAnsi="Cambria" w:cs="Arial"/>
          <w:b/>
          <w:sz w:val="22"/>
          <w:szCs w:val="22"/>
        </w:rPr>
      </w:pPr>
    </w:p>
    <w:p w:rsidR="00C52795" w:rsidRPr="00646256" w:rsidRDefault="00124469" w:rsidP="00623D16">
      <w:pPr>
        <w:numPr>
          <w:ilvl w:val="0"/>
          <w:numId w:val="5"/>
        </w:numPr>
        <w:spacing w:line="252" w:lineRule="auto"/>
        <w:ind w:left="1418" w:hanging="709"/>
        <w:jc w:val="both"/>
        <w:rPr>
          <w:rFonts w:ascii="Cambria" w:hAnsi="Cambria"/>
          <w:sz w:val="22"/>
          <w:szCs w:val="22"/>
        </w:rPr>
      </w:pPr>
      <w:r w:rsidRPr="00646256">
        <w:rPr>
          <w:rFonts w:ascii="Cambria" w:eastAsia="Arial" w:hAnsi="Cambria" w:cs="Arial"/>
          <w:sz w:val="22"/>
          <w:szCs w:val="22"/>
        </w:rPr>
        <w:t>Receiving transfer of investment capital being the value of land use right from</w:t>
      </w:r>
      <w:r w:rsidRPr="00646256">
        <w:rPr>
          <w:rFonts w:ascii="Cambria" w:eastAsia="Arial" w:hAnsi="Cambria" w:cs="Arial"/>
          <w:sz w:val="22"/>
          <w:szCs w:val="22"/>
        </w:rPr>
        <w:t xml:space="preserve"> enterprises currently using land allocated by the State with the collection of land use fees, or leased from the State with the rent paid in a one-off payment for the entire lease term where the value of land use right has been capitalized into the enterp</w:t>
      </w:r>
      <w:r w:rsidRPr="00646256">
        <w:rPr>
          <w:rFonts w:ascii="Cambria" w:eastAsia="Arial" w:hAnsi="Cambria" w:cs="Arial"/>
          <w:sz w:val="22"/>
          <w:szCs w:val="22"/>
        </w:rPr>
        <w:t xml:space="preserve">rises’ capital, except for the </w:t>
      </w:r>
      <w:r w:rsidRPr="00646256">
        <w:rPr>
          <w:rFonts w:ascii="Cambria" w:eastAsia="Arial" w:hAnsi="Cambria" w:cs="Arial"/>
          <w:sz w:val="22"/>
          <w:szCs w:val="22"/>
        </w:rPr>
        <w:lastRenderedPageBreak/>
        <w:t>case of transfer of investment capital being the value of agricultural production land or forestry land (Article 39.1 of Decree No. 43/2014/ND-CP);</w:t>
      </w:r>
    </w:p>
    <w:p w:rsidR="00C52795" w:rsidRPr="00646256" w:rsidRDefault="00C52795" w:rsidP="00623D16">
      <w:pPr>
        <w:spacing w:line="252" w:lineRule="auto"/>
        <w:ind w:left="1418" w:hanging="709"/>
        <w:jc w:val="both"/>
        <w:rPr>
          <w:rFonts w:ascii="Cambria" w:eastAsia="Arial" w:hAnsi="Cambria" w:cs="Arial"/>
          <w:sz w:val="22"/>
          <w:szCs w:val="22"/>
        </w:rPr>
      </w:pPr>
    </w:p>
    <w:p w:rsidR="00C52795" w:rsidRPr="00646256" w:rsidRDefault="00124469" w:rsidP="00623D16">
      <w:pPr>
        <w:numPr>
          <w:ilvl w:val="0"/>
          <w:numId w:val="5"/>
        </w:numPr>
        <w:spacing w:line="252" w:lineRule="auto"/>
        <w:ind w:left="1418" w:hanging="709"/>
        <w:jc w:val="both"/>
        <w:rPr>
          <w:rFonts w:ascii="Cambria" w:hAnsi="Cambria"/>
          <w:sz w:val="22"/>
          <w:szCs w:val="22"/>
        </w:rPr>
      </w:pPr>
      <w:r w:rsidRPr="00646256">
        <w:rPr>
          <w:rFonts w:ascii="Cambria" w:eastAsia="Arial" w:hAnsi="Cambria" w:cs="Arial"/>
          <w:sz w:val="22"/>
          <w:szCs w:val="22"/>
        </w:rPr>
        <w:t>Receiving transfer of land use rights via receipt of capital contribution us</w:t>
      </w:r>
      <w:r w:rsidRPr="00646256">
        <w:rPr>
          <w:rFonts w:ascii="Cambria" w:eastAsia="Arial" w:hAnsi="Cambria" w:cs="Arial"/>
          <w:sz w:val="22"/>
          <w:szCs w:val="22"/>
        </w:rPr>
        <w:t>ing land use rights according to Article 169.1.[e] Law on Land 2013 (applicable only when the foreign-invested enterprise is a joint-venture enterprise); or</w:t>
      </w:r>
    </w:p>
    <w:p w:rsidR="00C52795" w:rsidRPr="00646256" w:rsidRDefault="00C52795" w:rsidP="00623D16">
      <w:pPr>
        <w:spacing w:line="252" w:lineRule="auto"/>
        <w:ind w:left="1418" w:hanging="709"/>
        <w:jc w:val="both"/>
        <w:rPr>
          <w:rFonts w:ascii="Cambria" w:eastAsia="Arial" w:hAnsi="Cambria" w:cs="Arial"/>
          <w:sz w:val="22"/>
          <w:szCs w:val="22"/>
        </w:rPr>
      </w:pPr>
      <w:bookmarkStart w:id="0" w:name="_gjdgxs" w:colFirst="0" w:colLast="0"/>
      <w:bookmarkEnd w:id="0"/>
    </w:p>
    <w:p w:rsidR="00C52795" w:rsidRPr="00040345" w:rsidRDefault="00124469" w:rsidP="00623D16">
      <w:pPr>
        <w:numPr>
          <w:ilvl w:val="0"/>
          <w:numId w:val="5"/>
        </w:numPr>
        <w:spacing w:line="252" w:lineRule="auto"/>
        <w:ind w:left="1418" w:hanging="709"/>
        <w:jc w:val="both"/>
        <w:rPr>
          <w:rFonts w:ascii="Cambria" w:hAnsi="Cambria"/>
          <w:sz w:val="22"/>
          <w:szCs w:val="22"/>
        </w:rPr>
      </w:pPr>
      <w:r w:rsidRPr="00646256">
        <w:rPr>
          <w:rFonts w:ascii="Cambria" w:eastAsia="Arial" w:hAnsi="Cambria" w:cs="Arial"/>
          <w:sz w:val="22"/>
          <w:szCs w:val="22"/>
        </w:rPr>
        <w:t>Leasing or sub-leasing land in industrial zones, industrial complexes, export processing zones, hi</w:t>
      </w:r>
      <w:r w:rsidRPr="00646256">
        <w:rPr>
          <w:rFonts w:ascii="Cambria" w:eastAsia="Arial" w:hAnsi="Cambria" w:cs="Arial"/>
          <w:sz w:val="22"/>
          <w:szCs w:val="22"/>
        </w:rPr>
        <w:t>gh-tech zones, and economic zones (Article 185.2 Law on Land 2013)</w:t>
      </w:r>
      <w:r w:rsidR="00040345">
        <w:rPr>
          <w:rFonts w:ascii="Cambria" w:eastAsia="Arial" w:hAnsi="Cambria" w:cs="Arial"/>
          <w:sz w:val="22"/>
          <w:szCs w:val="22"/>
          <w:lang w:val="en-US"/>
        </w:rPr>
        <w:t>.</w:t>
      </w:r>
    </w:p>
    <w:p w:rsidR="00040345" w:rsidRDefault="00040345" w:rsidP="00040345">
      <w:pPr>
        <w:spacing w:line="252" w:lineRule="auto"/>
        <w:ind w:left="1418"/>
        <w:jc w:val="both"/>
        <w:rPr>
          <w:rFonts w:ascii="Cambria" w:eastAsia="Arial" w:hAnsi="Cambria" w:cs="Arial"/>
          <w:sz w:val="22"/>
          <w:szCs w:val="22"/>
          <w:lang w:val="en-US"/>
        </w:rPr>
      </w:pPr>
    </w:p>
    <w:p w:rsidR="00040345" w:rsidRDefault="00040345" w:rsidP="00040345">
      <w:pPr>
        <w:spacing w:line="252" w:lineRule="auto"/>
        <w:ind w:left="1418"/>
        <w:jc w:val="both"/>
        <w:rPr>
          <w:rFonts w:ascii="Cambria" w:eastAsia="Arial" w:hAnsi="Cambria" w:cs="Arial"/>
          <w:sz w:val="22"/>
          <w:szCs w:val="22"/>
          <w:lang w:val="en-US"/>
        </w:rPr>
      </w:pPr>
      <w:bookmarkStart w:id="1" w:name="_GoBack"/>
      <w:bookmarkEnd w:id="1"/>
    </w:p>
    <w:p w:rsidR="00C52795" w:rsidRPr="00040345" w:rsidRDefault="00040345" w:rsidP="00040345">
      <w:pPr>
        <w:spacing w:line="252" w:lineRule="auto"/>
        <w:ind w:left="6379"/>
        <w:jc w:val="both"/>
        <w:rPr>
          <w:rFonts w:ascii="Cambria" w:hAnsi="Cambria"/>
          <w:b/>
          <w:i/>
          <w:sz w:val="22"/>
          <w:szCs w:val="22"/>
        </w:rPr>
      </w:pPr>
      <w:r w:rsidRPr="00040345">
        <w:rPr>
          <w:rFonts w:ascii="Cambria" w:eastAsia="Arial" w:hAnsi="Cambria" w:cs="Arial"/>
          <w:b/>
          <w:i/>
          <w:sz w:val="22"/>
          <w:szCs w:val="22"/>
          <w:lang w:val="en-US"/>
        </w:rPr>
        <w:t>Nguyen Thi Thuy An (Anna)</w:t>
      </w:r>
    </w:p>
    <w:p w:rsidR="00C52795" w:rsidRPr="00646256" w:rsidRDefault="00124469">
      <w:pPr>
        <w:spacing w:line="252" w:lineRule="auto"/>
        <w:jc w:val="right"/>
        <w:rPr>
          <w:rFonts w:ascii="Cambria" w:eastAsia="Arial" w:hAnsi="Cambria" w:cs="Arial"/>
          <w:b/>
          <w:i/>
          <w:sz w:val="22"/>
          <w:szCs w:val="22"/>
          <w:u w:val="single"/>
        </w:rPr>
      </w:pPr>
      <w:r w:rsidRPr="00646256">
        <w:rPr>
          <w:rFonts w:ascii="Cambria" w:eastAsia="Arial" w:hAnsi="Cambria" w:cs="Arial"/>
          <w:b/>
          <w:i/>
          <w:sz w:val="22"/>
          <w:szCs w:val="22"/>
          <w:u w:val="single"/>
        </w:rPr>
        <w:t>ADK &amp; Co Vietnam Lawyers Law Firm</w:t>
      </w:r>
    </w:p>
    <w:p w:rsidR="00C52795" w:rsidRPr="00646256" w:rsidRDefault="00C52795">
      <w:pPr>
        <w:spacing w:line="252" w:lineRule="auto"/>
        <w:rPr>
          <w:rFonts w:ascii="Cambria" w:eastAsia="Arial" w:hAnsi="Cambria" w:cs="Arial"/>
          <w:b/>
          <w:i/>
          <w:sz w:val="22"/>
          <w:szCs w:val="22"/>
          <w:u w:val="single"/>
        </w:rPr>
      </w:pPr>
    </w:p>
    <w:p w:rsidR="00C52795" w:rsidRPr="00646256" w:rsidRDefault="00C52795">
      <w:pPr>
        <w:spacing w:line="252" w:lineRule="auto"/>
        <w:rPr>
          <w:rFonts w:ascii="Cambria" w:eastAsia="Arial" w:hAnsi="Cambria" w:cs="Arial"/>
          <w:b/>
          <w:i/>
          <w:sz w:val="22"/>
          <w:szCs w:val="22"/>
          <w:u w:val="single"/>
        </w:rPr>
      </w:pPr>
    </w:p>
    <w:p w:rsidR="00C52795" w:rsidRPr="00646256" w:rsidRDefault="00C52795">
      <w:pPr>
        <w:spacing w:line="252" w:lineRule="auto"/>
        <w:rPr>
          <w:rFonts w:ascii="Cambria" w:eastAsia="Arial" w:hAnsi="Cambria" w:cs="Arial"/>
          <w:sz w:val="22"/>
          <w:szCs w:val="22"/>
        </w:rPr>
      </w:pPr>
    </w:p>
    <w:p w:rsidR="00C52795" w:rsidRPr="00646256" w:rsidRDefault="00C52795">
      <w:pPr>
        <w:spacing w:line="252" w:lineRule="auto"/>
        <w:rPr>
          <w:rFonts w:ascii="Cambria" w:eastAsia="Arial" w:hAnsi="Cambria" w:cs="Arial"/>
          <w:b/>
          <w:color w:val="CC0000"/>
          <w:sz w:val="22"/>
          <w:szCs w:val="22"/>
        </w:rPr>
      </w:pPr>
    </w:p>
    <w:sectPr w:rsidR="00C52795" w:rsidRPr="00646256">
      <w:headerReference w:type="default" r:id="rId7"/>
      <w:footerReference w:type="default" r:id="rId8"/>
      <w:pgSz w:w="12240" w:h="15840"/>
      <w:pgMar w:top="1138" w:right="1138" w:bottom="1138" w:left="141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69" w:rsidRDefault="00124469">
      <w:r>
        <w:separator/>
      </w:r>
    </w:p>
  </w:endnote>
  <w:endnote w:type="continuationSeparator" w:id="0">
    <w:p w:rsidR="00124469" w:rsidRDefault="0012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95" w:rsidRDefault="00124469">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b/>
      <w:t>ADK &amp; Co Lawyers</w:t>
    </w:r>
  </w:p>
  <w:p w:rsidR="00C52795" w:rsidRDefault="00124469">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r>
        <w:rPr>
          <w:rFonts w:ascii="Palatino Linotype" w:eastAsia="Palatino Linotype" w:hAnsi="Palatino Linotype" w:cs="Palatino Linotype"/>
          <w:color w:val="0000FF"/>
          <w:sz w:val="18"/>
          <w:szCs w:val="18"/>
          <w:u w:val="single"/>
        </w:rPr>
        <w:t>www.adk-lawyers.com</w:t>
      </w:r>
    </w:hyperlink>
  </w:p>
  <w:p w:rsidR="00C52795" w:rsidRDefault="00C52795">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69" w:rsidRDefault="00124469">
      <w:r>
        <w:separator/>
      </w:r>
    </w:p>
  </w:footnote>
  <w:footnote w:type="continuationSeparator" w:id="0">
    <w:p w:rsidR="00124469" w:rsidRDefault="0012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95" w:rsidRDefault="00124469">
    <w:pPr>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lang w:val="en-US"/>
      </w:rPr>
      <w:drawing>
        <wp:inline distT="0" distB="0" distL="0" distR="0">
          <wp:extent cx="7769362" cy="1481392"/>
          <wp:effectExtent l="0" t="0" r="0" b="0"/>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29820" b="30293"/>
                  <a:stretch>
                    <a:fillRect/>
                  </a:stretch>
                </pic:blipFill>
                <pic:spPr>
                  <a:xfrm>
                    <a:off x="0" y="0"/>
                    <a:ext cx="7769362" cy="14813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3A1"/>
    <w:multiLevelType w:val="multilevel"/>
    <w:tmpl w:val="06984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3686A44"/>
    <w:multiLevelType w:val="multilevel"/>
    <w:tmpl w:val="1CA06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3FD1042"/>
    <w:multiLevelType w:val="multilevel"/>
    <w:tmpl w:val="BD84E2DE"/>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5069B3"/>
    <w:multiLevelType w:val="multilevel"/>
    <w:tmpl w:val="B1E05B8C"/>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AF77FC0"/>
    <w:multiLevelType w:val="multilevel"/>
    <w:tmpl w:val="5CA4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F045FF1"/>
    <w:multiLevelType w:val="hybridMultilevel"/>
    <w:tmpl w:val="5CBC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1769DB"/>
    <w:multiLevelType w:val="multilevel"/>
    <w:tmpl w:val="90C68140"/>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95"/>
    <w:rsid w:val="00040345"/>
    <w:rsid w:val="00124469"/>
    <w:rsid w:val="00623D16"/>
    <w:rsid w:val="00646256"/>
    <w:rsid w:val="00C5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79D2E-C7D8-400E-8030-20200D2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44914-6299-4EF0-9539-AB85E6268213}"/>
</file>

<file path=customXml/itemProps2.xml><?xml version="1.0" encoding="utf-8"?>
<ds:datastoreItem xmlns:ds="http://schemas.openxmlformats.org/officeDocument/2006/customXml" ds:itemID="{B69944A5-8592-49AA-9B04-8EDFF76D47EB}"/>
</file>

<file path=customXml/itemProps3.xml><?xml version="1.0" encoding="utf-8"?>
<ds:datastoreItem xmlns:ds="http://schemas.openxmlformats.org/officeDocument/2006/customXml" ds:itemID="{A3FDA36A-34E2-44DE-84CB-A5838D7CA2C6}"/>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2021-08-09T07:57:00Z</dcterms:created>
  <dcterms:modified xsi:type="dcterms:W3CDTF">2021-08-09T07:59:00Z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