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0415E" w14:textId="5D29BB80" w:rsidR="00BC5251" w:rsidRDefault="008257DE" w:rsidP="00BC5251">
      <w:pPr>
        <w:spacing w:after="0" w:line="264" w:lineRule="auto"/>
        <w:jc w:val="center"/>
        <w:rPr>
          <w:rFonts w:ascii="Cambria" w:hAnsi="Cambria"/>
          <w:b/>
        </w:rPr>
      </w:pPr>
      <w:r w:rsidRPr="008257DE">
        <w:rPr>
          <w:rFonts w:ascii="Cambria" w:hAnsi="Cambria"/>
          <w:b/>
        </w:rPr>
        <w:t>CONDITIONS AND QUANTITY OF RESIDENTIAL HOUSES THAT FOREIGN INDIVIDUALS AND ORGANIZATIONS ARE ALLOWED TO OWN IN VIETNAM</w:t>
      </w:r>
    </w:p>
    <w:p w14:paraId="137EE4D9" w14:textId="1AC0264B" w:rsidR="008257DE" w:rsidRDefault="008257DE" w:rsidP="008257DE">
      <w:pPr>
        <w:spacing w:after="0" w:line="264" w:lineRule="auto"/>
        <w:rPr>
          <w:rFonts w:ascii="Cambria" w:hAnsi="Cambria"/>
          <w:b/>
        </w:rPr>
      </w:pPr>
    </w:p>
    <w:tbl>
      <w:tblPr>
        <w:tblStyle w:val="TableGrid"/>
        <w:tblW w:w="14665" w:type="dxa"/>
        <w:tblLook w:val="04A0" w:firstRow="1" w:lastRow="0" w:firstColumn="1" w:lastColumn="0" w:noHBand="0" w:noVBand="1"/>
      </w:tblPr>
      <w:tblGrid>
        <w:gridCol w:w="644"/>
        <w:gridCol w:w="1892"/>
        <w:gridCol w:w="4612"/>
        <w:gridCol w:w="1307"/>
        <w:gridCol w:w="6210"/>
      </w:tblGrid>
      <w:tr w:rsidR="00BF01FA" w:rsidRPr="00BC5251" w14:paraId="5DDB3570" w14:textId="77777777" w:rsidTr="00BF01FA">
        <w:tc>
          <w:tcPr>
            <w:tcW w:w="644" w:type="dxa"/>
            <w:vMerge w:val="restart"/>
            <w:shd w:val="clear" w:color="auto" w:fill="1F3864" w:themeFill="accent1" w:themeFillShade="80"/>
          </w:tcPr>
          <w:p w14:paraId="7CC8966D" w14:textId="16266AA3" w:rsidR="00BF01FA" w:rsidRPr="00BC5251" w:rsidRDefault="00BF01FA" w:rsidP="00EA777F">
            <w:pPr>
              <w:spacing w:line="264" w:lineRule="auto"/>
              <w:jc w:val="center"/>
              <w:rPr>
                <w:rFonts w:ascii="Cambria" w:hAnsi="Cambria"/>
                <w:b/>
                <w:bCs/>
                <w:color w:val="FFFFFF" w:themeColor="background1"/>
              </w:rPr>
            </w:pPr>
            <w:r>
              <w:rPr>
                <w:rFonts w:ascii="Cambria" w:hAnsi="Cambria"/>
                <w:b/>
                <w:bCs/>
                <w:color w:val="FFFFFF" w:themeColor="background1"/>
              </w:rPr>
              <w:t>No.</w:t>
            </w:r>
          </w:p>
        </w:tc>
        <w:tc>
          <w:tcPr>
            <w:tcW w:w="1892" w:type="dxa"/>
            <w:vMerge w:val="restart"/>
            <w:shd w:val="clear" w:color="auto" w:fill="1F3864" w:themeFill="accent1" w:themeFillShade="80"/>
          </w:tcPr>
          <w:p w14:paraId="363FC74A" w14:textId="715FDCB3" w:rsidR="00BF01FA" w:rsidRPr="00BC5251" w:rsidRDefault="00BF01FA" w:rsidP="00EA777F">
            <w:pPr>
              <w:spacing w:line="264" w:lineRule="auto"/>
              <w:jc w:val="center"/>
              <w:rPr>
                <w:rFonts w:ascii="Cambria" w:hAnsi="Cambria"/>
                <w:b/>
                <w:bCs/>
                <w:color w:val="FFFFFF" w:themeColor="background1"/>
              </w:rPr>
            </w:pPr>
            <w:r w:rsidRPr="0015210F">
              <w:rPr>
                <w:rFonts w:ascii="Cambria" w:hAnsi="Cambria"/>
                <w:b/>
                <w:bCs/>
                <w:color w:val="FFFFFF" w:themeColor="background1"/>
              </w:rPr>
              <w:t>CRITERIA</w:t>
            </w:r>
          </w:p>
        </w:tc>
        <w:tc>
          <w:tcPr>
            <w:tcW w:w="12129" w:type="dxa"/>
            <w:gridSpan w:val="3"/>
            <w:shd w:val="clear" w:color="auto" w:fill="1F3864" w:themeFill="accent1" w:themeFillShade="80"/>
          </w:tcPr>
          <w:p w14:paraId="47CD26BE" w14:textId="18091BD0" w:rsidR="00BF01FA" w:rsidRPr="00BC5251" w:rsidRDefault="00BF01FA" w:rsidP="00EA777F">
            <w:pPr>
              <w:spacing w:line="264" w:lineRule="auto"/>
              <w:jc w:val="center"/>
              <w:rPr>
                <w:rFonts w:ascii="Cambria" w:hAnsi="Cambria"/>
                <w:b/>
                <w:bCs/>
                <w:color w:val="FFFFFF" w:themeColor="background1"/>
              </w:rPr>
            </w:pPr>
            <w:r w:rsidRPr="0015210F">
              <w:rPr>
                <w:rFonts w:ascii="Cambria" w:hAnsi="Cambria"/>
                <w:b/>
                <w:bCs/>
                <w:color w:val="FFFFFF" w:themeColor="background1"/>
              </w:rPr>
              <w:t>SUBJECT</w:t>
            </w:r>
            <w:r>
              <w:rPr>
                <w:rFonts w:ascii="Cambria" w:hAnsi="Cambria"/>
                <w:b/>
                <w:bCs/>
                <w:color w:val="FFFFFF" w:themeColor="background1"/>
              </w:rPr>
              <w:t>S</w:t>
            </w:r>
          </w:p>
          <w:p w14:paraId="24541E18" w14:textId="77777777" w:rsidR="00BF01FA" w:rsidRPr="00BC5251" w:rsidRDefault="00BF01FA" w:rsidP="00EA777F">
            <w:pPr>
              <w:spacing w:line="264" w:lineRule="auto"/>
              <w:jc w:val="center"/>
              <w:rPr>
                <w:rFonts w:ascii="Cambria" w:hAnsi="Cambria"/>
                <w:b/>
                <w:bCs/>
                <w:color w:val="FFFFFF" w:themeColor="background1"/>
              </w:rPr>
            </w:pPr>
          </w:p>
        </w:tc>
      </w:tr>
      <w:tr w:rsidR="00BF01FA" w:rsidRPr="00BC5251" w14:paraId="777C5B32" w14:textId="77777777" w:rsidTr="00BF01FA">
        <w:tc>
          <w:tcPr>
            <w:tcW w:w="644" w:type="dxa"/>
            <w:vMerge/>
            <w:shd w:val="clear" w:color="auto" w:fill="C00000"/>
          </w:tcPr>
          <w:p w14:paraId="3D9DF06A" w14:textId="77777777" w:rsidR="00BF01FA" w:rsidRPr="00BC5251" w:rsidRDefault="00BF01FA" w:rsidP="00EA777F">
            <w:pPr>
              <w:spacing w:line="264" w:lineRule="auto"/>
              <w:jc w:val="center"/>
              <w:rPr>
                <w:rFonts w:ascii="Cambria" w:hAnsi="Cambria"/>
                <w:b/>
                <w:bCs/>
                <w:color w:val="FFFFFF" w:themeColor="background1"/>
              </w:rPr>
            </w:pPr>
          </w:p>
        </w:tc>
        <w:tc>
          <w:tcPr>
            <w:tcW w:w="1892" w:type="dxa"/>
            <w:vMerge/>
            <w:shd w:val="clear" w:color="auto" w:fill="C00000"/>
          </w:tcPr>
          <w:p w14:paraId="6F1CED78" w14:textId="77777777" w:rsidR="00BF01FA" w:rsidRPr="00BC5251" w:rsidRDefault="00BF01FA" w:rsidP="00EA777F">
            <w:pPr>
              <w:spacing w:line="264" w:lineRule="auto"/>
              <w:jc w:val="center"/>
              <w:rPr>
                <w:rFonts w:ascii="Cambria" w:hAnsi="Cambria"/>
                <w:b/>
                <w:bCs/>
                <w:color w:val="FFFFFF" w:themeColor="background1"/>
              </w:rPr>
            </w:pPr>
          </w:p>
        </w:tc>
        <w:tc>
          <w:tcPr>
            <w:tcW w:w="5919" w:type="dxa"/>
            <w:gridSpan w:val="2"/>
            <w:shd w:val="clear" w:color="auto" w:fill="1F3864" w:themeFill="accent1" w:themeFillShade="80"/>
          </w:tcPr>
          <w:p w14:paraId="778F082F" w14:textId="2AF2C2F7" w:rsidR="00BF01FA" w:rsidRPr="00BC5251" w:rsidRDefault="00BF01FA" w:rsidP="0015210F">
            <w:pPr>
              <w:spacing w:line="264" w:lineRule="auto"/>
              <w:jc w:val="center"/>
              <w:rPr>
                <w:rFonts w:ascii="Cambria" w:hAnsi="Cambria"/>
                <w:b/>
                <w:bCs/>
                <w:color w:val="FFFFFF" w:themeColor="background1"/>
              </w:rPr>
            </w:pPr>
            <w:r>
              <w:rPr>
                <w:rFonts w:ascii="Cambria" w:hAnsi="Cambria"/>
                <w:b/>
                <w:bCs/>
                <w:color w:val="FFFFFF" w:themeColor="background1"/>
              </w:rPr>
              <w:t>Foreign Individuals</w:t>
            </w:r>
          </w:p>
        </w:tc>
        <w:tc>
          <w:tcPr>
            <w:tcW w:w="6210" w:type="dxa"/>
            <w:shd w:val="clear" w:color="auto" w:fill="1F3864" w:themeFill="accent1" w:themeFillShade="80"/>
          </w:tcPr>
          <w:p w14:paraId="268E95F6" w14:textId="77777777" w:rsidR="00BF01FA" w:rsidRDefault="00BF01FA" w:rsidP="00EA777F">
            <w:pPr>
              <w:spacing w:line="264" w:lineRule="auto"/>
              <w:jc w:val="center"/>
              <w:rPr>
                <w:rFonts w:ascii="Cambria" w:hAnsi="Cambria"/>
                <w:b/>
                <w:bCs/>
                <w:color w:val="FFFFFF" w:themeColor="background1"/>
              </w:rPr>
            </w:pPr>
            <w:r>
              <w:rPr>
                <w:rFonts w:ascii="Cambria" w:hAnsi="Cambria"/>
                <w:b/>
                <w:bCs/>
                <w:color w:val="FFFFFF" w:themeColor="background1"/>
              </w:rPr>
              <w:t>Foreign Organizations</w:t>
            </w:r>
          </w:p>
          <w:p w14:paraId="4539F440" w14:textId="2A9B656B" w:rsidR="006A6165" w:rsidRPr="00BC5251" w:rsidRDefault="006A6165" w:rsidP="00EA777F">
            <w:pPr>
              <w:spacing w:line="264" w:lineRule="auto"/>
              <w:jc w:val="center"/>
              <w:rPr>
                <w:rFonts w:ascii="Cambria" w:hAnsi="Cambria"/>
                <w:b/>
                <w:bCs/>
                <w:color w:val="FFFFFF" w:themeColor="background1"/>
              </w:rPr>
            </w:pPr>
          </w:p>
        </w:tc>
      </w:tr>
      <w:tr w:rsidR="00BF01FA" w:rsidRPr="00BC5251" w14:paraId="15157E95" w14:textId="77777777" w:rsidTr="00BF01FA">
        <w:tc>
          <w:tcPr>
            <w:tcW w:w="644" w:type="dxa"/>
          </w:tcPr>
          <w:p w14:paraId="78C3869F" w14:textId="77777777" w:rsidR="00BF01FA" w:rsidRPr="00BC5251" w:rsidRDefault="00BF01FA" w:rsidP="00EA777F">
            <w:pPr>
              <w:pStyle w:val="ListParagraph"/>
              <w:numPr>
                <w:ilvl w:val="0"/>
                <w:numId w:val="1"/>
              </w:numPr>
              <w:spacing w:line="264" w:lineRule="auto"/>
              <w:jc w:val="center"/>
              <w:rPr>
                <w:rFonts w:ascii="Cambria" w:hAnsi="Cambria"/>
              </w:rPr>
            </w:pPr>
          </w:p>
        </w:tc>
        <w:tc>
          <w:tcPr>
            <w:tcW w:w="1892" w:type="dxa"/>
          </w:tcPr>
          <w:p w14:paraId="50944FA5" w14:textId="254DD4F5" w:rsidR="00BF01FA" w:rsidRDefault="0014093E" w:rsidP="00400494">
            <w:pPr>
              <w:spacing w:line="264" w:lineRule="auto"/>
              <w:jc w:val="both"/>
              <w:rPr>
                <w:rFonts w:ascii="Cambria" w:hAnsi="Cambria"/>
              </w:rPr>
            </w:pPr>
            <w:r>
              <w:rPr>
                <w:rFonts w:ascii="Cambria" w:hAnsi="Cambria"/>
              </w:rPr>
              <w:t>Su</w:t>
            </w:r>
            <w:r w:rsidR="006A6165" w:rsidRPr="006A6165">
              <w:rPr>
                <w:rFonts w:ascii="Cambria" w:hAnsi="Cambria"/>
              </w:rPr>
              <w:t>bject of ownership</w:t>
            </w:r>
          </w:p>
          <w:p w14:paraId="00106C8A" w14:textId="04A1DC7D" w:rsidR="00294D32" w:rsidRPr="00BC5251" w:rsidRDefault="00294D32" w:rsidP="00400494">
            <w:pPr>
              <w:spacing w:line="264" w:lineRule="auto"/>
              <w:jc w:val="both"/>
              <w:rPr>
                <w:rFonts w:ascii="Cambria" w:hAnsi="Cambria"/>
              </w:rPr>
            </w:pPr>
          </w:p>
        </w:tc>
        <w:tc>
          <w:tcPr>
            <w:tcW w:w="5919" w:type="dxa"/>
            <w:gridSpan w:val="2"/>
          </w:tcPr>
          <w:p w14:paraId="2A5F85F4" w14:textId="60065E9C" w:rsidR="00BF01FA" w:rsidRPr="00BC5251" w:rsidRDefault="00BF01FA" w:rsidP="0015210F">
            <w:pPr>
              <w:spacing w:line="264" w:lineRule="auto"/>
              <w:jc w:val="both"/>
              <w:rPr>
                <w:rFonts w:ascii="Cambria" w:hAnsi="Cambria"/>
              </w:rPr>
            </w:pPr>
            <w:r w:rsidRPr="0015210F">
              <w:rPr>
                <w:rFonts w:ascii="Cambria" w:hAnsi="Cambria"/>
              </w:rPr>
              <w:t>Foreign individuals are allowed to enter Vietnam</w:t>
            </w:r>
          </w:p>
        </w:tc>
        <w:tc>
          <w:tcPr>
            <w:tcW w:w="6210" w:type="dxa"/>
          </w:tcPr>
          <w:p w14:paraId="22C321B9" w14:textId="77777777" w:rsidR="00BF01FA" w:rsidRDefault="00BF01FA" w:rsidP="0015210F">
            <w:pPr>
              <w:spacing w:line="264" w:lineRule="auto"/>
              <w:jc w:val="both"/>
              <w:rPr>
                <w:rFonts w:ascii="Cambria" w:hAnsi="Cambria"/>
              </w:rPr>
            </w:pPr>
            <w:r w:rsidRPr="0015210F">
              <w:rPr>
                <w:rFonts w:ascii="Cambria" w:hAnsi="Cambria"/>
              </w:rPr>
              <w:t>Foreign-invested enterprises</w:t>
            </w:r>
            <w:r>
              <w:rPr>
                <w:rFonts w:ascii="Cambria" w:hAnsi="Cambria"/>
              </w:rPr>
              <w:t xml:space="preserve"> are</w:t>
            </w:r>
            <w:r w:rsidRPr="0015210F">
              <w:rPr>
                <w:rFonts w:ascii="Cambria" w:hAnsi="Cambria"/>
              </w:rPr>
              <w:t xml:space="preserve"> operating in Vietnam</w:t>
            </w:r>
          </w:p>
          <w:p w14:paraId="52205F6E" w14:textId="02C38B49" w:rsidR="006A6165" w:rsidRPr="00234C87" w:rsidRDefault="006A6165" w:rsidP="0015210F">
            <w:pPr>
              <w:spacing w:line="264" w:lineRule="auto"/>
              <w:jc w:val="both"/>
              <w:rPr>
                <w:rFonts w:ascii="Cambria" w:hAnsi="Cambria"/>
                <w:spacing w:val="-30"/>
              </w:rPr>
            </w:pPr>
          </w:p>
        </w:tc>
      </w:tr>
      <w:tr w:rsidR="00BF01FA" w:rsidRPr="00BC5251" w14:paraId="246E94D2" w14:textId="77777777" w:rsidTr="00BF01FA">
        <w:tc>
          <w:tcPr>
            <w:tcW w:w="644" w:type="dxa"/>
          </w:tcPr>
          <w:p w14:paraId="74A5DEC3" w14:textId="77777777" w:rsidR="00BF01FA" w:rsidRPr="00BC5251" w:rsidRDefault="00BF01FA" w:rsidP="00EA777F">
            <w:pPr>
              <w:pStyle w:val="ListParagraph"/>
              <w:numPr>
                <w:ilvl w:val="0"/>
                <w:numId w:val="1"/>
              </w:numPr>
              <w:spacing w:line="264" w:lineRule="auto"/>
              <w:jc w:val="center"/>
              <w:rPr>
                <w:rFonts w:ascii="Cambria" w:hAnsi="Cambria"/>
              </w:rPr>
            </w:pPr>
          </w:p>
        </w:tc>
        <w:tc>
          <w:tcPr>
            <w:tcW w:w="1892" w:type="dxa"/>
          </w:tcPr>
          <w:p w14:paraId="1A5FC75E" w14:textId="0568D06F" w:rsidR="00BF01FA" w:rsidRPr="00BC5251" w:rsidRDefault="006A6165" w:rsidP="00EA777F">
            <w:pPr>
              <w:spacing w:line="264" w:lineRule="auto"/>
              <w:jc w:val="both"/>
              <w:rPr>
                <w:rFonts w:ascii="Cambria" w:hAnsi="Cambria"/>
              </w:rPr>
            </w:pPr>
            <w:r>
              <w:rPr>
                <w:rFonts w:ascii="Cambria" w:hAnsi="Cambria"/>
              </w:rPr>
              <w:t>F</w:t>
            </w:r>
            <w:r w:rsidRPr="006A6165">
              <w:rPr>
                <w:rFonts w:ascii="Cambria" w:hAnsi="Cambria"/>
              </w:rPr>
              <w:t>orm of ownership</w:t>
            </w:r>
          </w:p>
        </w:tc>
        <w:tc>
          <w:tcPr>
            <w:tcW w:w="12129" w:type="dxa"/>
            <w:gridSpan w:val="3"/>
          </w:tcPr>
          <w:p w14:paraId="6770239C" w14:textId="3699F33A" w:rsidR="00BF01FA" w:rsidRPr="00BC5251" w:rsidRDefault="00BF01FA" w:rsidP="00EA777F">
            <w:pPr>
              <w:pStyle w:val="ListParagraph"/>
              <w:numPr>
                <w:ilvl w:val="0"/>
                <w:numId w:val="4"/>
              </w:numPr>
              <w:spacing w:line="264" w:lineRule="auto"/>
              <w:ind w:left="316"/>
              <w:jc w:val="both"/>
              <w:rPr>
                <w:rFonts w:ascii="Cambria" w:hAnsi="Cambria"/>
              </w:rPr>
            </w:pPr>
            <w:r>
              <w:rPr>
                <w:rFonts w:ascii="Cambria" w:hAnsi="Cambria"/>
              </w:rPr>
              <w:t>Purchase</w:t>
            </w:r>
            <w:r w:rsidRPr="005A19A6">
              <w:rPr>
                <w:rFonts w:ascii="Cambria" w:hAnsi="Cambria"/>
              </w:rPr>
              <w:t xml:space="preserve">/lease-purchase a house directly from the investor </w:t>
            </w:r>
            <w:r>
              <w:rPr>
                <w:rFonts w:ascii="Cambria" w:hAnsi="Cambria"/>
              </w:rPr>
              <w:t>through</w:t>
            </w:r>
            <w:r w:rsidRPr="005A19A6">
              <w:rPr>
                <w:rFonts w:ascii="Cambria" w:hAnsi="Cambria"/>
              </w:rPr>
              <w:t xml:space="preserve"> a sale and purchase </w:t>
            </w:r>
            <w:r>
              <w:rPr>
                <w:rFonts w:ascii="Cambria" w:hAnsi="Cambria"/>
              </w:rPr>
              <w:t>agreement;</w:t>
            </w:r>
          </w:p>
          <w:p w14:paraId="5412F5EE" w14:textId="77777777" w:rsidR="00BF01FA" w:rsidRPr="00BC5251" w:rsidRDefault="00BF01FA" w:rsidP="00EA777F">
            <w:pPr>
              <w:pStyle w:val="ListParagraph"/>
              <w:spacing w:line="264" w:lineRule="auto"/>
              <w:ind w:left="316"/>
              <w:jc w:val="both"/>
              <w:rPr>
                <w:rFonts w:ascii="Cambria" w:hAnsi="Cambria"/>
              </w:rPr>
            </w:pPr>
          </w:p>
          <w:p w14:paraId="767198A1" w14:textId="6CBA2820" w:rsidR="00BF01FA" w:rsidRPr="00BC5251" w:rsidRDefault="00BF01FA" w:rsidP="00EA777F">
            <w:pPr>
              <w:pStyle w:val="ListParagraph"/>
              <w:numPr>
                <w:ilvl w:val="0"/>
                <w:numId w:val="4"/>
              </w:numPr>
              <w:spacing w:line="264" w:lineRule="auto"/>
              <w:ind w:left="316"/>
              <w:jc w:val="both"/>
              <w:rPr>
                <w:rFonts w:ascii="Cambria" w:hAnsi="Cambria"/>
              </w:rPr>
            </w:pPr>
            <w:r>
              <w:rPr>
                <w:rFonts w:ascii="Cambria" w:hAnsi="Cambria"/>
              </w:rPr>
              <w:t>Purchase</w:t>
            </w:r>
            <w:r w:rsidRPr="005A19A6">
              <w:rPr>
                <w:rFonts w:ascii="Cambria" w:hAnsi="Cambria"/>
              </w:rPr>
              <w:t>/lease-purchase a house from a foreign individual or organization that has been granted a certificate</w:t>
            </w:r>
            <w:r w:rsidRPr="00BC5251">
              <w:rPr>
                <w:rFonts w:ascii="Cambria" w:hAnsi="Cambria"/>
              </w:rPr>
              <w:t xml:space="preserve">; </w:t>
            </w:r>
          </w:p>
          <w:p w14:paraId="7EF94B46" w14:textId="77777777" w:rsidR="00BF01FA" w:rsidRPr="00BC5251" w:rsidRDefault="00BF01FA" w:rsidP="00EA777F">
            <w:pPr>
              <w:pStyle w:val="ListParagraph"/>
              <w:spacing w:line="264" w:lineRule="auto"/>
              <w:ind w:left="316"/>
              <w:jc w:val="both"/>
              <w:rPr>
                <w:rFonts w:ascii="Cambria" w:hAnsi="Cambria"/>
              </w:rPr>
            </w:pPr>
          </w:p>
          <w:p w14:paraId="3CC9C71F" w14:textId="7B15C01D" w:rsidR="00BF01FA" w:rsidRPr="00BC5251" w:rsidRDefault="00BF01FA" w:rsidP="00EA777F">
            <w:pPr>
              <w:pStyle w:val="ListParagraph"/>
              <w:numPr>
                <w:ilvl w:val="0"/>
                <w:numId w:val="4"/>
              </w:numPr>
              <w:spacing w:line="264" w:lineRule="auto"/>
              <w:ind w:left="316"/>
              <w:jc w:val="both"/>
              <w:rPr>
                <w:rFonts w:ascii="Cambria" w:hAnsi="Cambria"/>
              </w:rPr>
            </w:pPr>
            <w:r w:rsidRPr="00BC5251">
              <w:rPr>
                <w:rFonts w:ascii="Cambria" w:hAnsi="Cambria"/>
              </w:rPr>
              <w:t xml:space="preserve"> </w:t>
            </w:r>
            <w:r w:rsidRPr="005A19A6">
              <w:rPr>
                <w:rFonts w:ascii="Cambria" w:hAnsi="Cambria"/>
              </w:rPr>
              <w:t>Receive inheritance, gift/gift from individuals, households</w:t>
            </w:r>
            <w:r>
              <w:rPr>
                <w:rFonts w:ascii="Cambria" w:hAnsi="Cambria"/>
              </w:rPr>
              <w:t>,</w:t>
            </w:r>
            <w:r w:rsidRPr="005A19A6">
              <w:rPr>
                <w:rFonts w:ascii="Cambria" w:hAnsi="Cambria"/>
              </w:rPr>
              <w:t xml:space="preserve"> or organizations</w:t>
            </w:r>
            <w:r w:rsidRPr="00BC5251">
              <w:rPr>
                <w:rFonts w:ascii="Cambria" w:hAnsi="Cambria"/>
              </w:rPr>
              <w:t>.</w:t>
            </w:r>
          </w:p>
          <w:p w14:paraId="23E8D27F" w14:textId="77777777" w:rsidR="00BF01FA" w:rsidRPr="00BC5251" w:rsidRDefault="00BF01FA" w:rsidP="00EA777F">
            <w:pPr>
              <w:pStyle w:val="ListParagraph"/>
              <w:spacing w:line="264" w:lineRule="auto"/>
              <w:ind w:left="316"/>
              <w:jc w:val="both"/>
              <w:rPr>
                <w:rFonts w:ascii="Cambria" w:hAnsi="Cambria"/>
              </w:rPr>
            </w:pPr>
          </w:p>
        </w:tc>
      </w:tr>
      <w:tr w:rsidR="00BF01FA" w:rsidRPr="00BC5251" w14:paraId="4ADBCE57" w14:textId="77777777" w:rsidTr="00BF01FA">
        <w:tc>
          <w:tcPr>
            <w:tcW w:w="644" w:type="dxa"/>
          </w:tcPr>
          <w:p w14:paraId="414FFD41" w14:textId="77777777" w:rsidR="00BF01FA" w:rsidRPr="00BC5251" w:rsidRDefault="00BF01FA" w:rsidP="00EA777F">
            <w:pPr>
              <w:pStyle w:val="ListParagraph"/>
              <w:numPr>
                <w:ilvl w:val="0"/>
                <w:numId w:val="1"/>
              </w:numPr>
              <w:spacing w:line="264" w:lineRule="auto"/>
              <w:jc w:val="center"/>
              <w:rPr>
                <w:rFonts w:ascii="Cambria" w:hAnsi="Cambria"/>
              </w:rPr>
            </w:pPr>
          </w:p>
        </w:tc>
        <w:tc>
          <w:tcPr>
            <w:tcW w:w="1892" w:type="dxa"/>
          </w:tcPr>
          <w:p w14:paraId="34B36C99" w14:textId="08F4C059" w:rsidR="00BF01FA" w:rsidRPr="00BC5251" w:rsidRDefault="00294D32" w:rsidP="00EA777F">
            <w:pPr>
              <w:spacing w:line="264" w:lineRule="auto"/>
              <w:jc w:val="both"/>
              <w:rPr>
                <w:rFonts w:ascii="Cambria" w:hAnsi="Cambria"/>
              </w:rPr>
            </w:pPr>
            <w:r>
              <w:rPr>
                <w:rFonts w:ascii="Cambria" w:hAnsi="Cambria"/>
              </w:rPr>
              <w:t>Types of ownership</w:t>
            </w:r>
          </w:p>
          <w:p w14:paraId="6259F615" w14:textId="77777777" w:rsidR="00BF01FA" w:rsidRPr="00BC5251" w:rsidRDefault="00BF01FA" w:rsidP="00EA777F">
            <w:pPr>
              <w:spacing w:line="264" w:lineRule="auto"/>
              <w:jc w:val="both"/>
              <w:rPr>
                <w:rFonts w:ascii="Cambria" w:hAnsi="Cambria"/>
              </w:rPr>
            </w:pPr>
          </w:p>
        </w:tc>
        <w:tc>
          <w:tcPr>
            <w:tcW w:w="12129" w:type="dxa"/>
            <w:gridSpan w:val="3"/>
          </w:tcPr>
          <w:p w14:paraId="5C569359" w14:textId="77777777" w:rsidR="00BF01FA" w:rsidRDefault="00BF01FA" w:rsidP="005A19A6">
            <w:pPr>
              <w:spacing w:line="264" w:lineRule="auto"/>
              <w:jc w:val="both"/>
              <w:rPr>
                <w:rFonts w:ascii="Cambria" w:hAnsi="Cambria"/>
              </w:rPr>
            </w:pPr>
            <w:r w:rsidRPr="005A19A6">
              <w:rPr>
                <w:rFonts w:ascii="Cambria" w:hAnsi="Cambria"/>
              </w:rPr>
              <w:t>Houses (including apartments and separate houses) in commercial housing construction investment projects, except for areas ensuring national defense and security as prescribed by Vietnamese law.</w:t>
            </w:r>
          </w:p>
          <w:p w14:paraId="7FA65821" w14:textId="02DC668B" w:rsidR="006844DC" w:rsidRPr="00BC5251" w:rsidRDefault="006844DC" w:rsidP="005A19A6">
            <w:pPr>
              <w:spacing w:line="264" w:lineRule="auto"/>
              <w:jc w:val="both"/>
              <w:rPr>
                <w:rFonts w:ascii="Cambria" w:hAnsi="Cambria"/>
              </w:rPr>
            </w:pPr>
          </w:p>
        </w:tc>
      </w:tr>
      <w:tr w:rsidR="00BF01FA" w:rsidRPr="00BC5251" w14:paraId="4DEE823B" w14:textId="77777777" w:rsidTr="00BF01FA">
        <w:tc>
          <w:tcPr>
            <w:tcW w:w="644" w:type="dxa"/>
            <w:vMerge w:val="restart"/>
          </w:tcPr>
          <w:p w14:paraId="6D87AA62" w14:textId="77777777" w:rsidR="00BF01FA" w:rsidRPr="00BC5251" w:rsidRDefault="00BF01FA" w:rsidP="00EA777F">
            <w:pPr>
              <w:pStyle w:val="ListParagraph"/>
              <w:numPr>
                <w:ilvl w:val="0"/>
                <w:numId w:val="1"/>
              </w:numPr>
              <w:spacing w:line="264" w:lineRule="auto"/>
              <w:jc w:val="center"/>
              <w:rPr>
                <w:rFonts w:ascii="Cambria" w:hAnsi="Cambria"/>
              </w:rPr>
            </w:pPr>
          </w:p>
        </w:tc>
        <w:tc>
          <w:tcPr>
            <w:tcW w:w="1892" w:type="dxa"/>
            <w:vMerge w:val="restart"/>
          </w:tcPr>
          <w:p w14:paraId="0A132D70" w14:textId="37541F89" w:rsidR="00BF01FA" w:rsidRPr="00BC5251" w:rsidRDefault="00294D32" w:rsidP="00EA777F">
            <w:pPr>
              <w:spacing w:line="264" w:lineRule="auto"/>
              <w:jc w:val="both"/>
              <w:rPr>
                <w:rFonts w:ascii="Cambria" w:hAnsi="Cambria"/>
              </w:rPr>
            </w:pPr>
            <w:r w:rsidRPr="00294D32">
              <w:rPr>
                <w:rFonts w:ascii="Cambria" w:hAnsi="Cambria"/>
              </w:rPr>
              <w:t>Duration of ownership</w:t>
            </w:r>
          </w:p>
        </w:tc>
        <w:tc>
          <w:tcPr>
            <w:tcW w:w="5919" w:type="dxa"/>
            <w:gridSpan w:val="2"/>
          </w:tcPr>
          <w:p w14:paraId="78FCE37D" w14:textId="49ADE128" w:rsidR="00BF01FA" w:rsidRPr="006844DC" w:rsidRDefault="00CD34A3" w:rsidP="00CD34A3">
            <w:pPr>
              <w:pStyle w:val="ListParagraph"/>
              <w:numPr>
                <w:ilvl w:val="0"/>
                <w:numId w:val="2"/>
              </w:numPr>
              <w:spacing w:line="264" w:lineRule="auto"/>
              <w:ind w:left="320"/>
              <w:jc w:val="both"/>
              <w:rPr>
                <w:rFonts w:ascii="Cambria" w:hAnsi="Cambria"/>
              </w:rPr>
            </w:pPr>
            <w:r>
              <w:rPr>
                <w:rFonts w:ascii="Cambria" w:hAnsi="Cambria"/>
                <w:iCs/>
              </w:rPr>
              <w:t>A</w:t>
            </w:r>
            <w:r w:rsidRPr="00CD34A3">
              <w:rPr>
                <w:rFonts w:ascii="Cambria" w:hAnsi="Cambria"/>
                <w:iCs/>
              </w:rPr>
              <w:t xml:space="preserve">ccording to the agreement in the house purchase </w:t>
            </w:r>
            <w:proofErr w:type="spellStart"/>
            <w:r w:rsidRPr="00CD34A3">
              <w:rPr>
                <w:rFonts w:ascii="Cambria" w:hAnsi="Cambria"/>
                <w:iCs/>
              </w:rPr>
              <w:t>transaction</w:t>
            </w:r>
            <w:r w:rsidR="00BF01FA" w:rsidRPr="00732F2B">
              <w:rPr>
                <w:rFonts w:ascii="Cambria" w:hAnsi="Cambria"/>
                <w:b/>
                <w:bCs/>
                <w:iCs/>
                <w:u w:val="single"/>
              </w:rPr>
              <w:t>but</w:t>
            </w:r>
            <w:proofErr w:type="spellEnd"/>
            <w:r w:rsidR="00BF01FA" w:rsidRPr="00732F2B">
              <w:rPr>
                <w:rFonts w:ascii="Cambria" w:hAnsi="Cambria"/>
                <w:b/>
                <w:bCs/>
                <w:iCs/>
                <w:u w:val="single"/>
              </w:rPr>
              <w:t xml:space="preserve"> not exceeding 50 years</w:t>
            </w:r>
            <w:r w:rsidR="00BF01FA" w:rsidRPr="00732F2B">
              <w:rPr>
                <w:rFonts w:ascii="Cambria" w:hAnsi="Cambria"/>
                <w:iCs/>
                <w:u w:val="single"/>
              </w:rPr>
              <w:t xml:space="preserve"> and </w:t>
            </w:r>
            <w:r w:rsidR="00BF01FA" w:rsidRPr="00732F2B">
              <w:rPr>
                <w:rFonts w:ascii="Cambria" w:hAnsi="Cambria"/>
                <w:b/>
                <w:bCs/>
                <w:iCs/>
                <w:u w:val="single"/>
              </w:rPr>
              <w:t>being renewed once for a maximum of 50 years</w:t>
            </w:r>
            <w:r w:rsidR="00BF01FA" w:rsidRPr="005A19A6">
              <w:rPr>
                <w:rFonts w:ascii="Cambria" w:hAnsi="Cambria"/>
                <w:b/>
                <w:bCs/>
                <w:iCs/>
              </w:rPr>
              <w:t>.</w:t>
            </w:r>
          </w:p>
          <w:p w14:paraId="2CB8391B" w14:textId="77777777" w:rsidR="006844DC" w:rsidRPr="005A19A6" w:rsidRDefault="006844DC" w:rsidP="00CD34A3">
            <w:pPr>
              <w:pStyle w:val="ListParagraph"/>
              <w:spacing w:line="264" w:lineRule="auto"/>
              <w:ind w:left="360"/>
              <w:jc w:val="both"/>
              <w:rPr>
                <w:rFonts w:ascii="Cambria" w:hAnsi="Cambria"/>
              </w:rPr>
            </w:pPr>
          </w:p>
          <w:p w14:paraId="18B0238E" w14:textId="3058AFE4" w:rsidR="00BF01FA" w:rsidRPr="00BC5251" w:rsidRDefault="00BF01FA" w:rsidP="00CD34A3">
            <w:pPr>
              <w:pStyle w:val="ListParagraph"/>
              <w:numPr>
                <w:ilvl w:val="0"/>
                <w:numId w:val="2"/>
              </w:numPr>
              <w:spacing w:line="264" w:lineRule="auto"/>
              <w:ind w:left="360"/>
              <w:jc w:val="both"/>
              <w:rPr>
                <w:rFonts w:ascii="Cambria" w:hAnsi="Cambria"/>
              </w:rPr>
            </w:pPr>
            <w:r w:rsidRPr="005A19A6">
              <w:rPr>
                <w:rFonts w:ascii="Cambria" w:hAnsi="Cambria"/>
              </w:rPr>
              <w:t>In case a foreign individual marries a Vietnamese citizen or marries a Vietnamese residing abroad,</w:t>
            </w:r>
            <w:r w:rsidR="00CD34A3">
              <w:t xml:space="preserve"> </w:t>
            </w:r>
            <w:r w:rsidR="00CD34A3" w:rsidRPr="00CD34A3">
              <w:rPr>
                <w:rFonts w:ascii="Cambria" w:hAnsi="Cambria"/>
              </w:rPr>
              <w:t xml:space="preserve">they are entitled to own </w:t>
            </w:r>
            <w:r w:rsidR="00CD34A3" w:rsidRPr="00CD34A3">
              <w:rPr>
                <w:rFonts w:ascii="Cambria" w:hAnsi="Cambria"/>
                <w:iCs/>
              </w:rPr>
              <w:t>stable</w:t>
            </w:r>
            <w:r w:rsidR="00CD34A3" w:rsidRPr="00CD34A3">
              <w:rPr>
                <w:rFonts w:ascii="Cambria" w:hAnsi="Cambria"/>
              </w:rPr>
              <w:t xml:space="preserve"> and long-term houses and have the same rights of home owners as Vietnamese citizens.</w:t>
            </w:r>
          </w:p>
          <w:p w14:paraId="3850BCDA" w14:textId="77777777" w:rsidR="00BF01FA" w:rsidRPr="00BC5251" w:rsidRDefault="00BF01FA" w:rsidP="00EA777F">
            <w:pPr>
              <w:pStyle w:val="ListParagraph"/>
              <w:spacing w:line="264" w:lineRule="auto"/>
              <w:ind w:left="360"/>
              <w:jc w:val="both"/>
              <w:rPr>
                <w:rFonts w:ascii="Cambria" w:hAnsi="Cambria"/>
              </w:rPr>
            </w:pPr>
          </w:p>
        </w:tc>
        <w:tc>
          <w:tcPr>
            <w:tcW w:w="6210" w:type="dxa"/>
          </w:tcPr>
          <w:p w14:paraId="5231BBB1" w14:textId="3874578D" w:rsidR="00BF01FA" w:rsidRPr="005A19A6" w:rsidRDefault="00CD34A3" w:rsidP="00CD34A3">
            <w:pPr>
              <w:pStyle w:val="ListParagraph"/>
              <w:numPr>
                <w:ilvl w:val="0"/>
                <w:numId w:val="2"/>
              </w:numPr>
              <w:spacing w:line="264" w:lineRule="auto"/>
              <w:ind w:left="340"/>
              <w:jc w:val="both"/>
              <w:rPr>
                <w:rFonts w:ascii="Cambria" w:hAnsi="Cambria"/>
              </w:rPr>
            </w:pPr>
            <w:r>
              <w:rPr>
                <w:rFonts w:ascii="Cambria" w:hAnsi="Cambria"/>
              </w:rPr>
              <w:t>A</w:t>
            </w:r>
            <w:r w:rsidRPr="00CD34A3">
              <w:rPr>
                <w:rFonts w:ascii="Cambria" w:hAnsi="Cambria"/>
              </w:rPr>
              <w:t>ccording to the agreement in the house purchase transaction</w:t>
            </w:r>
            <w:r>
              <w:rPr>
                <w:rFonts w:ascii="Cambria" w:hAnsi="Cambria"/>
              </w:rPr>
              <w:t xml:space="preserve"> </w:t>
            </w:r>
            <w:r w:rsidR="00BF01FA" w:rsidRPr="00732F2B">
              <w:rPr>
                <w:rFonts w:ascii="Cambria" w:hAnsi="Cambria"/>
                <w:b/>
                <w:bCs/>
                <w:u w:val="single"/>
              </w:rPr>
              <w:t>but not exceeding the time limit stated in the investment certificate</w:t>
            </w:r>
            <w:r w:rsidR="00BF01FA" w:rsidRPr="005A19A6">
              <w:rPr>
                <w:rFonts w:ascii="Cambria" w:hAnsi="Cambria"/>
              </w:rPr>
              <w:t xml:space="preserve"> and </w:t>
            </w:r>
            <w:r w:rsidR="00BF01FA" w:rsidRPr="00732F2B">
              <w:rPr>
                <w:rFonts w:ascii="Cambria" w:hAnsi="Cambria"/>
                <w:b/>
                <w:bCs/>
                <w:u w:val="single"/>
              </w:rPr>
              <w:t>may only be extended once</w:t>
            </w:r>
            <w:r w:rsidR="00BF01FA" w:rsidRPr="005A19A6">
              <w:rPr>
                <w:rFonts w:ascii="Cambria" w:hAnsi="Cambria"/>
              </w:rPr>
              <w:t>, but not exceeding the time limit stated in the investment registration certificate (which has been extended for operation).</w:t>
            </w:r>
          </w:p>
          <w:p w14:paraId="5CE66852" w14:textId="77777777" w:rsidR="00BF01FA" w:rsidRDefault="00BF01FA" w:rsidP="008D556C">
            <w:pPr>
              <w:pStyle w:val="ListParagraph"/>
              <w:spacing w:line="264" w:lineRule="auto"/>
              <w:ind w:left="360"/>
              <w:jc w:val="both"/>
              <w:rPr>
                <w:rFonts w:ascii="Cambria" w:hAnsi="Cambria"/>
              </w:rPr>
            </w:pPr>
          </w:p>
          <w:p w14:paraId="165342E6" w14:textId="549441B7" w:rsidR="00BF01FA" w:rsidRPr="00163222" w:rsidRDefault="00BF01FA" w:rsidP="00EA777F">
            <w:pPr>
              <w:pStyle w:val="ListParagraph"/>
              <w:numPr>
                <w:ilvl w:val="0"/>
                <w:numId w:val="2"/>
              </w:numPr>
              <w:spacing w:line="264" w:lineRule="auto"/>
              <w:ind w:left="360"/>
              <w:jc w:val="both"/>
              <w:rPr>
                <w:rFonts w:ascii="Cambria" w:hAnsi="Cambria"/>
              </w:rPr>
            </w:pPr>
            <w:r w:rsidRPr="00163222">
              <w:rPr>
                <w:rFonts w:ascii="Cambria" w:hAnsi="Cambria"/>
              </w:rPr>
              <w:t>In case of bankruptcy, dissolution</w:t>
            </w:r>
            <w:r>
              <w:rPr>
                <w:rFonts w:ascii="Cambria" w:hAnsi="Cambria"/>
              </w:rPr>
              <w:t>,</w:t>
            </w:r>
            <w:r w:rsidRPr="00163222">
              <w:rPr>
                <w:rFonts w:ascii="Cambria" w:hAnsi="Cambria"/>
              </w:rPr>
              <w:t xml:space="preserve"> or termination of operation before the time limit for house ownership, it shall be handled according to the law on bankruptcy, dissolution</w:t>
            </w:r>
            <w:r>
              <w:rPr>
                <w:rFonts w:ascii="Cambria" w:hAnsi="Cambria"/>
              </w:rPr>
              <w:t>,</w:t>
            </w:r>
            <w:r w:rsidRPr="00163222">
              <w:rPr>
                <w:rFonts w:ascii="Cambria" w:hAnsi="Cambria"/>
              </w:rPr>
              <w:t xml:space="preserve"> or termination of operation and this house ownership shall be transferred to the individual, organizations owned </w:t>
            </w:r>
            <w:r>
              <w:rPr>
                <w:rFonts w:ascii="Cambria" w:hAnsi="Cambria"/>
              </w:rPr>
              <w:t>by</w:t>
            </w:r>
            <w:r w:rsidRPr="00163222">
              <w:rPr>
                <w:rFonts w:ascii="Cambria" w:hAnsi="Cambria"/>
              </w:rPr>
              <w:t xml:space="preserve"> the law on bankruptcy, dissolution or termination of operation;</w:t>
            </w:r>
          </w:p>
          <w:p w14:paraId="50CE6FA9" w14:textId="77777777" w:rsidR="00BF01FA" w:rsidRDefault="00BF01FA" w:rsidP="00163222">
            <w:pPr>
              <w:pStyle w:val="ListParagraph"/>
              <w:spacing w:line="264" w:lineRule="auto"/>
              <w:ind w:left="360"/>
              <w:jc w:val="both"/>
              <w:rPr>
                <w:rFonts w:ascii="Cambria" w:hAnsi="Cambria"/>
              </w:rPr>
            </w:pPr>
          </w:p>
          <w:p w14:paraId="133A3059" w14:textId="3E2C7FC4" w:rsidR="00BF01FA" w:rsidRPr="00BC5251" w:rsidRDefault="00BF01FA" w:rsidP="00EA777F">
            <w:pPr>
              <w:pStyle w:val="ListParagraph"/>
              <w:numPr>
                <w:ilvl w:val="0"/>
                <w:numId w:val="2"/>
              </w:numPr>
              <w:spacing w:line="264" w:lineRule="auto"/>
              <w:ind w:left="360"/>
              <w:jc w:val="both"/>
              <w:rPr>
                <w:rFonts w:ascii="Cambria" w:hAnsi="Cambria"/>
              </w:rPr>
            </w:pPr>
            <w:r w:rsidRPr="00163222">
              <w:rPr>
                <w:rFonts w:ascii="Cambria" w:hAnsi="Cambria"/>
              </w:rPr>
              <w:t>In case the investment registration certificate or the permit to operate in Vietnam is revoked by the State of Vietnam, the owner must sell or donate the house to the entity entitled to own a house in Vietnam</w:t>
            </w:r>
            <w:r w:rsidRPr="00BC5251">
              <w:rPr>
                <w:rFonts w:ascii="Cambria" w:hAnsi="Cambria"/>
              </w:rPr>
              <w:t>;</w:t>
            </w:r>
          </w:p>
          <w:p w14:paraId="3A5D820D" w14:textId="77777777" w:rsidR="00BF01FA" w:rsidRPr="00BC5251" w:rsidRDefault="00BF01FA" w:rsidP="00EA777F">
            <w:pPr>
              <w:pStyle w:val="ListParagraph"/>
              <w:spacing w:line="264" w:lineRule="auto"/>
              <w:jc w:val="both"/>
              <w:rPr>
                <w:rFonts w:ascii="Cambria" w:hAnsi="Cambria"/>
              </w:rPr>
            </w:pPr>
          </w:p>
          <w:p w14:paraId="3052FDA6" w14:textId="1FBB3FC7" w:rsidR="00BF01FA" w:rsidRPr="00BC5251" w:rsidRDefault="00BF01FA" w:rsidP="00EA777F">
            <w:pPr>
              <w:pStyle w:val="ListParagraph"/>
              <w:numPr>
                <w:ilvl w:val="0"/>
                <w:numId w:val="2"/>
              </w:numPr>
              <w:spacing w:line="264" w:lineRule="auto"/>
              <w:ind w:left="360"/>
              <w:jc w:val="both"/>
              <w:rPr>
                <w:rFonts w:ascii="Cambria" w:hAnsi="Cambria"/>
              </w:rPr>
            </w:pPr>
            <w:r w:rsidRPr="00163222">
              <w:rPr>
                <w:rFonts w:ascii="Cambria" w:hAnsi="Cambria"/>
              </w:rPr>
              <w:t>In case a foreign organization transforms into a domestic organization during the term of house ownership through merger or capital transfer as prescribed by law, this organization is entitled to own a house on a stable and long-term basis.</w:t>
            </w:r>
          </w:p>
          <w:p w14:paraId="7AD9835F" w14:textId="77777777" w:rsidR="00BF01FA" w:rsidRPr="00BC5251" w:rsidRDefault="00BF01FA" w:rsidP="00EA777F">
            <w:pPr>
              <w:spacing w:line="264" w:lineRule="auto"/>
              <w:jc w:val="both"/>
              <w:rPr>
                <w:rFonts w:ascii="Cambria" w:hAnsi="Cambria"/>
              </w:rPr>
            </w:pPr>
          </w:p>
        </w:tc>
      </w:tr>
      <w:tr w:rsidR="00BF01FA" w:rsidRPr="00BC5251" w14:paraId="4ED0D65A" w14:textId="77777777" w:rsidTr="00BF01FA">
        <w:tc>
          <w:tcPr>
            <w:tcW w:w="644" w:type="dxa"/>
            <w:vMerge/>
          </w:tcPr>
          <w:p w14:paraId="5206FA55" w14:textId="77777777" w:rsidR="00BF01FA" w:rsidRPr="00BC5251" w:rsidRDefault="00BF01FA" w:rsidP="00EA777F">
            <w:pPr>
              <w:pStyle w:val="ListParagraph"/>
              <w:spacing w:line="264" w:lineRule="auto"/>
              <w:ind w:left="360"/>
              <w:rPr>
                <w:rFonts w:ascii="Cambria" w:hAnsi="Cambria"/>
              </w:rPr>
            </w:pPr>
          </w:p>
        </w:tc>
        <w:tc>
          <w:tcPr>
            <w:tcW w:w="1892" w:type="dxa"/>
            <w:vMerge/>
          </w:tcPr>
          <w:p w14:paraId="70BE7F92" w14:textId="77777777" w:rsidR="00BF01FA" w:rsidRPr="00BC5251" w:rsidRDefault="00BF01FA" w:rsidP="00EA777F">
            <w:pPr>
              <w:spacing w:line="264" w:lineRule="auto"/>
              <w:jc w:val="both"/>
              <w:rPr>
                <w:rFonts w:ascii="Cambria" w:hAnsi="Cambria"/>
              </w:rPr>
            </w:pPr>
          </w:p>
        </w:tc>
        <w:tc>
          <w:tcPr>
            <w:tcW w:w="12129" w:type="dxa"/>
            <w:gridSpan w:val="3"/>
          </w:tcPr>
          <w:p w14:paraId="5730E512" w14:textId="5E61105E" w:rsidR="00BF01FA" w:rsidRPr="00BC5251" w:rsidRDefault="00BF01FA" w:rsidP="00EA777F">
            <w:pPr>
              <w:pStyle w:val="ListParagraph"/>
              <w:numPr>
                <w:ilvl w:val="0"/>
                <w:numId w:val="2"/>
              </w:numPr>
              <w:spacing w:line="264" w:lineRule="auto"/>
              <w:ind w:left="360"/>
              <w:jc w:val="both"/>
              <w:rPr>
                <w:rFonts w:ascii="Cambria" w:hAnsi="Cambria"/>
              </w:rPr>
            </w:pPr>
            <w:r w:rsidRPr="00163222">
              <w:rPr>
                <w:rFonts w:ascii="Cambria" w:hAnsi="Cambria"/>
              </w:rPr>
              <w:t>In case a foreign organization or individual is forced to leave Vietnam by a competent Vietnamese agency's decision or forced to terminate its operation in Vietnam because the use of a house under their ownership violates the provisions of the law. According to Vietnamese law, this house will be handled under a decision of a competent Vietnamese agency.</w:t>
            </w:r>
          </w:p>
          <w:p w14:paraId="09D0C613" w14:textId="77777777" w:rsidR="00BF01FA" w:rsidRPr="00BC5251" w:rsidRDefault="00BF01FA" w:rsidP="00EA777F">
            <w:pPr>
              <w:pStyle w:val="ListParagraph"/>
              <w:spacing w:line="264" w:lineRule="auto"/>
              <w:ind w:left="360"/>
              <w:jc w:val="both"/>
              <w:rPr>
                <w:rFonts w:ascii="Cambria" w:hAnsi="Cambria"/>
              </w:rPr>
            </w:pPr>
          </w:p>
        </w:tc>
      </w:tr>
      <w:tr w:rsidR="00BF01FA" w:rsidRPr="00BC5251" w14:paraId="0970EC63" w14:textId="77777777" w:rsidTr="00BF01FA">
        <w:tc>
          <w:tcPr>
            <w:tcW w:w="644" w:type="dxa"/>
          </w:tcPr>
          <w:p w14:paraId="3CBC0E04" w14:textId="77777777" w:rsidR="00BF01FA" w:rsidRPr="00BC5251" w:rsidRDefault="00BF01FA" w:rsidP="00EA777F">
            <w:pPr>
              <w:pStyle w:val="ListParagraph"/>
              <w:numPr>
                <w:ilvl w:val="0"/>
                <w:numId w:val="1"/>
              </w:numPr>
              <w:spacing w:line="264" w:lineRule="auto"/>
              <w:jc w:val="center"/>
              <w:rPr>
                <w:rFonts w:ascii="Cambria" w:hAnsi="Cambria"/>
              </w:rPr>
            </w:pPr>
          </w:p>
        </w:tc>
        <w:tc>
          <w:tcPr>
            <w:tcW w:w="1892" w:type="dxa"/>
          </w:tcPr>
          <w:p w14:paraId="157288B2" w14:textId="3F6DF7CD" w:rsidR="00BF01FA" w:rsidRPr="00BC5251" w:rsidRDefault="00BF01FA" w:rsidP="00EA777F">
            <w:pPr>
              <w:spacing w:line="264" w:lineRule="auto"/>
              <w:jc w:val="both"/>
              <w:rPr>
                <w:rFonts w:ascii="Cambria" w:hAnsi="Cambria"/>
              </w:rPr>
            </w:pPr>
            <w:r>
              <w:rPr>
                <w:rFonts w:ascii="Cambria" w:hAnsi="Cambria"/>
              </w:rPr>
              <w:t>Purposes of use</w:t>
            </w:r>
          </w:p>
        </w:tc>
        <w:tc>
          <w:tcPr>
            <w:tcW w:w="5919" w:type="dxa"/>
            <w:gridSpan w:val="2"/>
          </w:tcPr>
          <w:p w14:paraId="2FE068A3" w14:textId="20206701" w:rsidR="00BF01FA" w:rsidRPr="00BC5251" w:rsidRDefault="00050551" w:rsidP="00050551">
            <w:pPr>
              <w:pStyle w:val="ListParagraph"/>
              <w:numPr>
                <w:ilvl w:val="0"/>
                <w:numId w:val="2"/>
              </w:numPr>
              <w:spacing w:line="264" w:lineRule="auto"/>
              <w:ind w:left="360"/>
              <w:jc w:val="both"/>
              <w:rPr>
                <w:rFonts w:ascii="Cambria" w:hAnsi="Cambria"/>
              </w:rPr>
            </w:pPr>
            <w:r w:rsidRPr="00050551">
              <w:rPr>
                <w:rFonts w:ascii="Cambria" w:hAnsi="Cambria"/>
              </w:rPr>
              <w:t>living or leasing to carry out activities which are non-prohibited by law;</w:t>
            </w:r>
          </w:p>
          <w:p w14:paraId="59ECD6FA" w14:textId="193B8574" w:rsidR="00BF01FA" w:rsidRPr="00A03D5D" w:rsidRDefault="00BF01FA" w:rsidP="004253F5">
            <w:pPr>
              <w:spacing w:line="264" w:lineRule="auto"/>
              <w:jc w:val="both"/>
              <w:rPr>
                <w:rFonts w:ascii="Cambria" w:hAnsi="Cambria"/>
                <w:i/>
                <w:iCs/>
              </w:rPr>
            </w:pPr>
            <w:r w:rsidRPr="00A03D5D">
              <w:rPr>
                <w:rFonts w:ascii="Cambria" w:hAnsi="Cambria"/>
                <w:i/>
                <w:iCs/>
              </w:rPr>
              <w:t>(If renting, before renting a house, the owner must send a written notice of the house lease to the housing authority of the district where the house is located and fully pay the house rental tax according to the regulations on the laws on taxes)</w:t>
            </w:r>
          </w:p>
        </w:tc>
        <w:tc>
          <w:tcPr>
            <w:tcW w:w="6210" w:type="dxa"/>
          </w:tcPr>
          <w:p w14:paraId="21EA6C93" w14:textId="46B909C3" w:rsidR="006B0BA8" w:rsidRPr="00BC5251" w:rsidRDefault="004253F5" w:rsidP="00C27DF4">
            <w:pPr>
              <w:pStyle w:val="ListParagraph"/>
              <w:numPr>
                <w:ilvl w:val="0"/>
                <w:numId w:val="2"/>
              </w:numPr>
              <w:spacing w:line="264" w:lineRule="auto"/>
              <w:ind w:left="360"/>
              <w:jc w:val="both"/>
              <w:rPr>
                <w:rFonts w:ascii="Cambria" w:hAnsi="Cambria"/>
              </w:rPr>
            </w:pPr>
            <w:r>
              <w:rPr>
                <w:rFonts w:ascii="Cambria" w:hAnsi="Cambria"/>
              </w:rPr>
              <w:t>Using</w:t>
            </w:r>
            <w:r w:rsidR="00C27DF4" w:rsidRPr="00C27DF4">
              <w:rPr>
                <w:rFonts w:ascii="Cambria" w:hAnsi="Cambria"/>
              </w:rPr>
              <w:t xml:space="preserve"> for staff and employees who are working for that organization to stay.</w:t>
            </w:r>
          </w:p>
          <w:p w14:paraId="44B62E40" w14:textId="4614B0E2" w:rsidR="00BF01FA" w:rsidRPr="00BC5251" w:rsidRDefault="00BF01FA" w:rsidP="004253F5">
            <w:pPr>
              <w:spacing w:line="264" w:lineRule="auto"/>
              <w:jc w:val="both"/>
              <w:rPr>
                <w:rFonts w:ascii="Cambria" w:hAnsi="Cambria"/>
              </w:rPr>
            </w:pPr>
            <w:r w:rsidRPr="00BC5251">
              <w:rPr>
                <w:rFonts w:ascii="Cambria" w:hAnsi="Cambria"/>
                <w:i/>
                <w:iCs/>
              </w:rPr>
              <w:t>(</w:t>
            </w:r>
            <w:r w:rsidRPr="00A03D5D">
              <w:rPr>
                <w:rFonts w:ascii="Cambria" w:hAnsi="Cambria"/>
                <w:i/>
                <w:iCs/>
              </w:rPr>
              <w:t>Do not use the house for rent, office</w:t>
            </w:r>
            <w:r>
              <w:rPr>
                <w:rFonts w:ascii="Cambria" w:hAnsi="Cambria"/>
                <w:i/>
                <w:iCs/>
              </w:rPr>
              <w:t>,</w:t>
            </w:r>
            <w:r w:rsidRPr="00A03D5D">
              <w:rPr>
                <w:rFonts w:ascii="Cambria" w:hAnsi="Cambria"/>
                <w:i/>
                <w:iCs/>
              </w:rPr>
              <w:t xml:space="preserve"> or other purposes</w:t>
            </w:r>
            <w:r w:rsidRPr="00BC5251">
              <w:rPr>
                <w:rFonts w:ascii="Cambria" w:hAnsi="Cambria"/>
                <w:i/>
                <w:iCs/>
              </w:rPr>
              <w:t>).</w:t>
            </w:r>
          </w:p>
        </w:tc>
      </w:tr>
      <w:tr w:rsidR="00BF01FA" w:rsidRPr="00BC5251" w14:paraId="272F3BE1" w14:textId="77777777" w:rsidTr="00BF01FA">
        <w:tc>
          <w:tcPr>
            <w:tcW w:w="644" w:type="dxa"/>
          </w:tcPr>
          <w:p w14:paraId="4C2953C0" w14:textId="77777777" w:rsidR="00BF01FA" w:rsidRPr="00BC5251" w:rsidRDefault="00BF01FA" w:rsidP="00EA777F">
            <w:pPr>
              <w:pStyle w:val="ListParagraph"/>
              <w:numPr>
                <w:ilvl w:val="0"/>
                <w:numId w:val="1"/>
              </w:numPr>
              <w:spacing w:line="264" w:lineRule="auto"/>
              <w:jc w:val="center"/>
              <w:rPr>
                <w:rFonts w:ascii="Cambria" w:hAnsi="Cambria"/>
              </w:rPr>
            </w:pPr>
          </w:p>
        </w:tc>
        <w:tc>
          <w:tcPr>
            <w:tcW w:w="1892" w:type="dxa"/>
          </w:tcPr>
          <w:p w14:paraId="687ED905" w14:textId="1A6C8ACA" w:rsidR="00BF01FA" w:rsidRPr="00BC5251" w:rsidRDefault="001D7EB3" w:rsidP="00EA777F">
            <w:pPr>
              <w:spacing w:line="264" w:lineRule="auto"/>
              <w:jc w:val="both"/>
              <w:rPr>
                <w:rFonts w:ascii="Cambria" w:hAnsi="Cambria"/>
              </w:rPr>
            </w:pPr>
            <w:r w:rsidRPr="001D7EB3">
              <w:rPr>
                <w:rFonts w:ascii="Cambria" w:hAnsi="Cambria"/>
              </w:rPr>
              <w:t>Conditions of purchase</w:t>
            </w:r>
          </w:p>
        </w:tc>
        <w:tc>
          <w:tcPr>
            <w:tcW w:w="5919" w:type="dxa"/>
            <w:gridSpan w:val="2"/>
          </w:tcPr>
          <w:p w14:paraId="655880B6" w14:textId="041E4852" w:rsidR="00BF01FA" w:rsidRPr="00BC5251" w:rsidRDefault="00BF01FA" w:rsidP="00EA777F">
            <w:pPr>
              <w:pStyle w:val="ListParagraph"/>
              <w:numPr>
                <w:ilvl w:val="0"/>
                <w:numId w:val="2"/>
              </w:numPr>
              <w:spacing w:line="264" w:lineRule="auto"/>
              <w:ind w:left="360"/>
              <w:jc w:val="both"/>
              <w:rPr>
                <w:rFonts w:ascii="Cambria" w:hAnsi="Cambria"/>
              </w:rPr>
            </w:pPr>
            <w:r w:rsidRPr="00A03D5D">
              <w:rPr>
                <w:rFonts w:ascii="Cambria" w:hAnsi="Cambria"/>
              </w:rPr>
              <w:t>A valid passport bearing the entry verification stamp of the Vietnamese immigration authority</w:t>
            </w:r>
            <w:r w:rsidRPr="00BC5251">
              <w:rPr>
                <w:rFonts w:ascii="Cambria" w:hAnsi="Cambria"/>
              </w:rPr>
              <w:t>;</w:t>
            </w:r>
          </w:p>
          <w:p w14:paraId="0F4EB58A" w14:textId="77777777" w:rsidR="00BF01FA" w:rsidRPr="00BC5251" w:rsidRDefault="00BF01FA" w:rsidP="00EA777F">
            <w:pPr>
              <w:pStyle w:val="ListParagraph"/>
              <w:spacing w:line="264" w:lineRule="auto"/>
              <w:ind w:left="360"/>
              <w:jc w:val="both"/>
              <w:rPr>
                <w:rFonts w:ascii="Cambria" w:hAnsi="Cambria"/>
              </w:rPr>
            </w:pPr>
          </w:p>
          <w:p w14:paraId="5997266E" w14:textId="53108402" w:rsidR="00BF01FA" w:rsidRPr="00BC5251" w:rsidRDefault="00BF01FA" w:rsidP="00EA777F">
            <w:pPr>
              <w:pStyle w:val="ListParagraph"/>
              <w:numPr>
                <w:ilvl w:val="0"/>
                <w:numId w:val="2"/>
              </w:numPr>
              <w:spacing w:line="264" w:lineRule="auto"/>
              <w:ind w:left="360"/>
              <w:jc w:val="both"/>
              <w:rPr>
                <w:rFonts w:ascii="Cambria" w:hAnsi="Cambria"/>
              </w:rPr>
            </w:pPr>
            <w:r w:rsidRPr="00A03D5D">
              <w:rPr>
                <w:rFonts w:ascii="Cambria" w:hAnsi="Cambria"/>
              </w:rPr>
              <w:t>Not entitled to diplomatic privileges and immunities under the Ordinance on Privileges and Immunities for diplomatic missions, consular offices</w:t>
            </w:r>
            <w:r>
              <w:rPr>
                <w:rFonts w:ascii="Cambria" w:hAnsi="Cambria"/>
              </w:rPr>
              <w:t>,</w:t>
            </w:r>
            <w:r w:rsidRPr="00A03D5D">
              <w:rPr>
                <w:rFonts w:ascii="Cambria" w:hAnsi="Cambria"/>
              </w:rPr>
              <w:t xml:space="preserve"> and representative offices of international organizations in Vietnam</w:t>
            </w:r>
            <w:r w:rsidRPr="00BC5251">
              <w:rPr>
                <w:rFonts w:ascii="Cambria" w:hAnsi="Cambria"/>
              </w:rPr>
              <w:t>.</w:t>
            </w:r>
          </w:p>
          <w:p w14:paraId="16AA25C0" w14:textId="77777777" w:rsidR="00BF01FA" w:rsidRPr="00BC5251" w:rsidRDefault="00BF01FA" w:rsidP="00EA777F">
            <w:pPr>
              <w:spacing w:line="264" w:lineRule="auto"/>
              <w:jc w:val="both"/>
              <w:rPr>
                <w:rFonts w:ascii="Cambria" w:hAnsi="Cambria"/>
              </w:rPr>
            </w:pPr>
          </w:p>
        </w:tc>
        <w:tc>
          <w:tcPr>
            <w:tcW w:w="6210" w:type="dxa"/>
          </w:tcPr>
          <w:p w14:paraId="1876FDC9" w14:textId="1E8C894A" w:rsidR="00BF01FA" w:rsidRPr="00BC5251" w:rsidRDefault="00BF01FA" w:rsidP="00EA777F">
            <w:pPr>
              <w:spacing w:line="264" w:lineRule="auto"/>
              <w:jc w:val="both"/>
              <w:rPr>
                <w:rFonts w:ascii="Cambria" w:hAnsi="Cambria"/>
              </w:rPr>
            </w:pPr>
            <w:r w:rsidRPr="00A03D5D">
              <w:rPr>
                <w:rFonts w:ascii="Cambria" w:hAnsi="Cambria"/>
              </w:rPr>
              <w:t>An investment registration certificate or a document authorized by a competent Vietnamese authority to operate in Vietnam is still valid at the time of signing the housing transactions.</w:t>
            </w:r>
          </w:p>
        </w:tc>
      </w:tr>
      <w:tr w:rsidR="00BF01FA" w:rsidRPr="00BC5251" w14:paraId="49AA4A53" w14:textId="77777777" w:rsidTr="00BF01FA">
        <w:tc>
          <w:tcPr>
            <w:tcW w:w="644" w:type="dxa"/>
          </w:tcPr>
          <w:p w14:paraId="5A18E3A7" w14:textId="77777777" w:rsidR="00BF01FA" w:rsidRPr="00BC5251" w:rsidRDefault="00BF01FA" w:rsidP="00EA777F">
            <w:pPr>
              <w:pStyle w:val="ListParagraph"/>
              <w:numPr>
                <w:ilvl w:val="0"/>
                <w:numId w:val="1"/>
              </w:numPr>
              <w:spacing w:line="264" w:lineRule="auto"/>
              <w:jc w:val="center"/>
              <w:rPr>
                <w:rFonts w:ascii="Cambria" w:hAnsi="Cambria"/>
              </w:rPr>
            </w:pPr>
          </w:p>
        </w:tc>
        <w:tc>
          <w:tcPr>
            <w:tcW w:w="1892" w:type="dxa"/>
          </w:tcPr>
          <w:p w14:paraId="07E2715C" w14:textId="05BC3857" w:rsidR="00BF01FA" w:rsidRPr="004D3C5E" w:rsidRDefault="001D7EB3" w:rsidP="00EA777F">
            <w:pPr>
              <w:spacing w:line="264" w:lineRule="auto"/>
              <w:jc w:val="both"/>
              <w:rPr>
                <w:rFonts w:ascii="Cambria" w:hAnsi="Cambria"/>
                <w:spacing w:val="-10"/>
              </w:rPr>
            </w:pPr>
            <w:r w:rsidRPr="001D7EB3">
              <w:rPr>
                <w:rFonts w:ascii="Cambria" w:hAnsi="Cambria"/>
                <w:spacing w:val="-10"/>
              </w:rPr>
              <w:t>Number of houses owned</w:t>
            </w:r>
          </w:p>
        </w:tc>
        <w:tc>
          <w:tcPr>
            <w:tcW w:w="12129" w:type="dxa"/>
            <w:gridSpan w:val="3"/>
          </w:tcPr>
          <w:p w14:paraId="15239B49" w14:textId="54142A57" w:rsidR="00BF01FA" w:rsidRPr="00BC5251" w:rsidRDefault="00BF01FA" w:rsidP="00EA777F">
            <w:pPr>
              <w:pStyle w:val="ListParagraph"/>
              <w:numPr>
                <w:ilvl w:val="0"/>
                <w:numId w:val="2"/>
              </w:numPr>
              <w:spacing w:line="264" w:lineRule="auto"/>
              <w:ind w:left="327"/>
              <w:jc w:val="both"/>
              <w:rPr>
                <w:rFonts w:ascii="Cambria" w:hAnsi="Cambria"/>
              </w:rPr>
            </w:pPr>
            <w:r>
              <w:rPr>
                <w:rFonts w:ascii="Cambria" w:hAnsi="Cambria"/>
                <w:b/>
                <w:bCs/>
              </w:rPr>
              <w:t>Apartment</w:t>
            </w:r>
            <w:r w:rsidRPr="00BC5251">
              <w:rPr>
                <w:rFonts w:ascii="Cambria" w:hAnsi="Cambria"/>
                <w:b/>
                <w:bCs/>
              </w:rPr>
              <w:t>:</w:t>
            </w:r>
            <w:r w:rsidRPr="00BC5251">
              <w:rPr>
                <w:rFonts w:ascii="Cambria" w:hAnsi="Cambria"/>
              </w:rPr>
              <w:t xml:space="preserve"> </w:t>
            </w:r>
          </w:p>
          <w:p w14:paraId="1208F03A" w14:textId="77777777" w:rsidR="00BF01FA" w:rsidRPr="00BC5251" w:rsidRDefault="00BF01FA" w:rsidP="00EA777F">
            <w:pPr>
              <w:pStyle w:val="ListParagraph"/>
              <w:spacing w:line="264" w:lineRule="auto"/>
              <w:ind w:left="327"/>
              <w:jc w:val="both"/>
              <w:rPr>
                <w:rFonts w:ascii="Cambria" w:hAnsi="Cambria"/>
              </w:rPr>
            </w:pPr>
          </w:p>
          <w:p w14:paraId="7BF49717" w14:textId="190143CE" w:rsidR="00BF01FA" w:rsidRPr="00BC5251" w:rsidRDefault="00BF01FA" w:rsidP="00EA777F">
            <w:pPr>
              <w:pStyle w:val="ListParagraph"/>
              <w:numPr>
                <w:ilvl w:val="0"/>
                <w:numId w:val="5"/>
              </w:numPr>
              <w:spacing w:line="264" w:lineRule="auto"/>
              <w:ind w:left="676"/>
              <w:jc w:val="both"/>
              <w:rPr>
                <w:rFonts w:ascii="Cambria" w:hAnsi="Cambria"/>
              </w:rPr>
            </w:pPr>
            <w:r w:rsidRPr="00732F2B">
              <w:rPr>
                <w:rFonts w:ascii="Cambria" w:hAnsi="Cambria"/>
                <w:b/>
                <w:bCs/>
                <w:u w:val="single"/>
              </w:rPr>
              <w:t xml:space="preserve">No more than 30% of the total number of residential apartments </w:t>
            </w:r>
            <w:r w:rsidRPr="00F43037">
              <w:rPr>
                <w:rFonts w:ascii="Cambria" w:hAnsi="Cambria"/>
                <w:b/>
                <w:bCs/>
                <w:u w:val="single"/>
              </w:rPr>
              <w:t xml:space="preserve">in that </w:t>
            </w:r>
            <w:r w:rsidRPr="00F43037">
              <w:rPr>
                <w:rFonts w:ascii="Cambria" w:hAnsi="Cambria"/>
                <w:b/>
                <w:u w:val="single"/>
              </w:rPr>
              <w:t>building;</w:t>
            </w:r>
          </w:p>
          <w:p w14:paraId="71554C22" w14:textId="77777777" w:rsidR="00BF01FA" w:rsidRPr="00BC5251" w:rsidRDefault="00BF01FA" w:rsidP="00EA777F">
            <w:pPr>
              <w:pStyle w:val="ListParagraph"/>
              <w:spacing w:line="264" w:lineRule="auto"/>
              <w:ind w:left="676"/>
              <w:jc w:val="both"/>
              <w:rPr>
                <w:rFonts w:ascii="Cambria" w:hAnsi="Cambria"/>
              </w:rPr>
            </w:pPr>
          </w:p>
          <w:p w14:paraId="70569B13" w14:textId="0E050712" w:rsidR="00BF01FA" w:rsidRDefault="00BF01FA" w:rsidP="00EA777F">
            <w:pPr>
              <w:pStyle w:val="ListParagraph"/>
              <w:numPr>
                <w:ilvl w:val="0"/>
                <w:numId w:val="5"/>
              </w:numPr>
              <w:spacing w:line="264" w:lineRule="auto"/>
              <w:ind w:left="676"/>
              <w:jc w:val="both"/>
              <w:rPr>
                <w:rFonts w:ascii="Cambria" w:hAnsi="Cambria"/>
              </w:rPr>
            </w:pPr>
            <w:r w:rsidRPr="00A03D5D">
              <w:rPr>
                <w:rFonts w:ascii="Cambria" w:hAnsi="Cambria"/>
              </w:rPr>
              <w:t xml:space="preserve">In case an apartment building has many units or blocks sharing the same podium, foreign organizations and individuals </w:t>
            </w:r>
            <w:r w:rsidR="00063AE4" w:rsidRPr="00A03D5D">
              <w:rPr>
                <w:rFonts w:ascii="Cambria" w:hAnsi="Cambria"/>
              </w:rPr>
              <w:t xml:space="preserve">may </w:t>
            </w:r>
            <w:r w:rsidRPr="00A03D5D">
              <w:rPr>
                <w:rFonts w:ascii="Cambria" w:hAnsi="Cambria"/>
              </w:rPr>
              <w:t xml:space="preserve">only own </w:t>
            </w:r>
            <w:r w:rsidRPr="00732F2B">
              <w:rPr>
                <w:rFonts w:ascii="Cambria" w:hAnsi="Cambria"/>
                <w:b/>
                <w:bCs/>
                <w:u w:val="single"/>
              </w:rPr>
              <w:t>no more than 30% of the total number of apartments fo</w:t>
            </w:r>
            <w:r w:rsidR="00815051">
              <w:rPr>
                <w:rFonts w:ascii="Cambria" w:hAnsi="Cambria"/>
                <w:b/>
                <w:bCs/>
                <w:u w:val="single"/>
              </w:rPr>
              <w:t>r living purposes of each unit or each block</w:t>
            </w:r>
            <w:r w:rsidRPr="00A03D5D">
              <w:rPr>
                <w:rFonts w:ascii="Cambria" w:hAnsi="Cambria"/>
              </w:rPr>
              <w:t>;</w:t>
            </w:r>
          </w:p>
          <w:p w14:paraId="4588294E" w14:textId="77777777" w:rsidR="00BF01FA" w:rsidRPr="00BC5251" w:rsidRDefault="00BF01FA" w:rsidP="00EA777F">
            <w:pPr>
              <w:pStyle w:val="ListParagraph"/>
              <w:spacing w:line="264" w:lineRule="auto"/>
              <w:ind w:left="676"/>
              <w:jc w:val="both"/>
              <w:rPr>
                <w:rFonts w:ascii="Cambria" w:hAnsi="Cambria"/>
              </w:rPr>
            </w:pPr>
          </w:p>
          <w:p w14:paraId="13A5637D" w14:textId="1CEFDCAE" w:rsidR="00BF01FA" w:rsidRPr="00BC5251" w:rsidRDefault="00063AE4" w:rsidP="00063AE4">
            <w:pPr>
              <w:pStyle w:val="ListParagraph"/>
              <w:numPr>
                <w:ilvl w:val="0"/>
                <w:numId w:val="5"/>
              </w:numPr>
              <w:spacing w:line="264" w:lineRule="auto"/>
              <w:ind w:left="676"/>
              <w:jc w:val="both"/>
              <w:rPr>
                <w:rFonts w:ascii="Cambria" w:hAnsi="Cambria"/>
              </w:rPr>
            </w:pPr>
            <w:r w:rsidRPr="00063AE4">
              <w:rPr>
                <w:rFonts w:ascii="Cambria" w:hAnsi="Cambria"/>
              </w:rPr>
              <w:t>In case in an area with a population equivalent to a ward-level administrative unit which many apartment buildings for sale, lease-purchase</w:t>
            </w:r>
            <w:r w:rsidR="00BF01FA" w:rsidRPr="00A03D5D">
              <w:rPr>
                <w:rFonts w:ascii="Cambria" w:hAnsi="Cambria"/>
              </w:rPr>
              <w:t xml:space="preserve">, foreign organizations and individuals may only own </w:t>
            </w:r>
            <w:r w:rsidR="00BF01FA" w:rsidRPr="00732F2B">
              <w:rPr>
                <w:rFonts w:ascii="Cambria" w:hAnsi="Cambria"/>
                <w:b/>
                <w:bCs/>
                <w:u w:val="single"/>
              </w:rPr>
              <w:t>no more than 30% of the apartments</w:t>
            </w:r>
            <w:r w:rsidR="00465005">
              <w:rPr>
                <w:rFonts w:ascii="Cambria" w:hAnsi="Cambria"/>
                <w:b/>
                <w:bCs/>
                <w:u w:val="single"/>
              </w:rPr>
              <w:t xml:space="preserve">. apartments of each apartment </w:t>
            </w:r>
            <w:r w:rsidR="00BF01FA" w:rsidRPr="00732F2B">
              <w:rPr>
                <w:rFonts w:ascii="Cambria" w:hAnsi="Cambria"/>
                <w:b/>
                <w:bCs/>
                <w:u w:val="single"/>
              </w:rPr>
              <w:t>and not more than 30% of the total number of ap</w:t>
            </w:r>
            <w:r w:rsidR="00465005">
              <w:rPr>
                <w:rFonts w:ascii="Cambria" w:hAnsi="Cambria"/>
                <w:b/>
                <w:bCs/>
                <w:u w:val="single"/>
              </w:rPr>
              <w:t>artments of all these apartments;</w:t>
            </w:r>
          </w:p>
          <w:p w14:paraId="4AE67732" w14:textId="77777777" w:rsidR="00BF01FA" w:rsidRPr="00BC5251" w:rsidRDefault="00BF01FA" w:rsidP="00EA777F">
            <w:pPr>
              <w:pStyle w:val="ListParagraph"/>
              <w:spacing w:line="264" w:lineRule="auto"/>
              <w:ind w:left="327"/>
              <w:jc w:val="both"/>
              <w:rPr>
                <w:rFonts w:ascii="Cambria" w:hAnsi="Cambria"/>
              </w:rPr>
            </w:pPr>
          </w:p>
          <w:p w14:paraId="06778944" w14:textId="608C083F" w:rsidR="00BF01FA" w:rsidRPr="00BC5251" w:rsidRDefault="00FA76BB" w:rsidP="00EA777F">
            <w:pPr>
              <w:pStyle w:val="ListParagraph"/>
              <w:numPr>
                <w:ilvl w:val="0"/>
                <w:numId w:val="2"/>
              </w:numPr>
              <w:spacing w:line="264" w:lineRule="auto"/>
              <w:ind w:left="327"/>
              <w:jc w:val="both"/>
              <w:rPr>
                <w:rFonts w:ascii="Cambria" w:hAnsi="Cambria"/>
              </w:rPr>
            </w:pPr>
            <w:r>
              <w:rPr>
                <w:rFonts w:ascii="Cambria" w:hAnsi="Cambria"/>
                <w:b/>
                <w:bCs/>
              </w:rPr>
              <w:t>Separate residential housing</w:t>
            </w:r>
            <w:r w:rsidR="00BF01FA" w:rsidRPr="00BC5251">
              <w:rPr>
                <w:rFonts w:ascii="Cambria" w:hAnsi="Cambria"/>
              </w:rPr>
              <w:t xml:space="preserve">: </w:t>
            </w:r>
          </w:p>
          <w:p w14:paraId="32D9AFD9" w14:textId="77777777" w:rsidR="00BF01FA" w:rsidRPr="00BC5251" w:rsidRDefault="00BF01FA" w:rsidP="00EA777F">
            <w:pPr>
              <w:pStyle w:val="ListParagraph"/>
              <w:spacing w:line="264" w:lineRule="auto"/>
              <w:ind w:left="327"/>
              <w:jc w:val="both"/>
              <w:rPr>
                <w:rFonts w:ascii="Cambria" w:hAnsi="Cambria"/>
                <w:b/>
                <w:bCs/>
              </w:rPr>
            </w:pPr>
          </w:p>
          <w:p w14:paraId="643BEFDF" w14:textId="5A2CDE20" w:rsidR="00BF01FA" w:rsidRPr="00BC5251" w:rsidRDefault="00BF01FA" w:rsidP="00C17CCC">
            <w:pPr>
              <w:pStyle w:val="ListParagraph"/>
              <w:numPr>
                <w:ilvl w:val="0"/>
                <w:numId w:val="5"/>
              </w:numPr>
              <w:spacing w:line="264" w:lineRule="auto"/>
              <w:ind w:left="676" w:hanging="493"/>
              <w:jc w:val="both"/>
              <w:rPr>
                <w:rFonts w:ascii="Cambria" w:hAnsi="Cambria"/>
              </w:rPr>
            </w:pPr>
            <w:r w:rsidRPr="00C17CCC">
              <w:rPr>
                <w:rFonts w:ascii="Cambria" w:hAnsi="Cambria"/>
                <w:bCs/>
              </w:rPr>
              <w:t>In case</w:t>
            </w:r>
            <w:r w:rsidRPr="00C17CCC">
              <w:rPr>
                <w:rFonts w:ascii="Cambria" w:hAnsi="Cambria"/>
                <w:b/>
                <w:u w:val="single"/>
              </w:rPr>
              <w:t xml:space="preserve"> there is only one </w:t>
            </w:r>
            <w:r w:rsidR="003D321C">
              <w:rPr>
                <w:rFonts w:ascii="Cambria" w:hAnsi="Cambria"/>
                <w:b/>
                <w:u w:val="single"/>
              </w:rPr>
              <w:t>separate residential housing project</w:t>
            </w:r>
            <w:r w:rsidRPr="00C17CCC">
              <w:rPr>
                <w:rFonts w:ascii="Cambria" w:hAnsi="Cambria"/>
                <w:b/>
                <w:u w:val="single"/>
              </w:rPr>
              <w:t xml:space="preserve"> </w:t>
            </w:r>
            <w:r w:rsidRPr="00C17CCC">
              <w:rPr>
                <w:rFonts w:ascii="Cambria" w:hAnsi="Cambria"/>
                <w:bCs/>
              </w:rPr>
              <w:t>in an area with a population equivalent to a ward-level administrative unit, foreign organizations and individuals may own</w:t>
            </w:r>
            <w:r w:rsidRPr="00C17CCC">
              <w:rPr>
                <w:rFonts w:ascii="Cambria" w:hAnsi="Cambria"/>
                <w:b/>
                <w:u w:val="single"/>
              </w:rPr>
              <w:t xml:space="preserve"> no more than 10% of the total number of </w:t>
            </w:r>
            <w:r w:rsidR="003D321C">
              <w:rPr>
                <w:rFonts w:ascii="Cambria" w:hAnsi="Cambria"/>
                <w:b/>
                <w:u w:val="single"/>
              </w:rPr>
              <w:t>s</w:t>
            </w:r>
            <w:r w:rsidR="003D321C" w:rsidRPr="003D321C">
              <w:rPr>
                <w:rFonts w:ascii="Cambria" w:hAnsi="Cambria"/>
                <w:b/>
                <w:bCs/>
                <w:u w:val="single"/>
              </w:rPr>
              <w:t>eparate residential housing</w:t>
            </w:r>
            <w:r w:rsidR="003D321C" w:rsidRPr="00C17CCC">
              <w:rPr>
                <w:rFonts w:ascii="Cambria" w:hAnsi="Cambria"/>
                <w:b/>
                <w:u w:val="single"/>
              </w:rPr>
              <w:t xml:space="preserve"> </w:t>
            </w:r>
            <w:r w:rsidRPr="00C17CCC">
              <w:rPr>
                <w:rFonts w:ascii="Cambria" w:hAnsi="Cambria"/>
                <w:b/>
                <w:u w:val="single"/>
              </w:rPr>
              <w:t xml:space="preserve">of the project and </w:t>
            </w:r>
            <w:r>
              <w:rPr>
                <w:rFonts w:ascii="Cambria" w:hAnsi="Cambria"/>
                <w:b/>
                <w:u w:val="single"/>
              </w:rPr>
              <w:t xml:space="preserve">no more than the </w:t>
            </w:r>
            <w:r w:rsidRPr="00C17CCC">
              <w:rPr>
                <w:rFonts w:ascii="Cambria" w:hAnsi="Cambria"/>
                <w:b/>
                <w:u w:val="single"/>
              </w:rPr>
              <w:t xml:space="preserve">maximum number of 250 </w:t>
            </w:r>
            <w:r w:rsidR="00A52D25">
              <w:rPr>
                <w:rFonts w:ascii="Cambria" w:hAnsi="Cambria"/>
                <w:b/>
                <w:u w:val="single"/>
              </w:rPr>
              <w:t xml:space="preserve">separate </w:t>
            </w:r>
            <w:r w:rsidRPr="00C17CCC">
              <w:rPr>
                <w:rFonts w:ascii="Cambria" w:hAnsi="Cambria"/>
                <w:b/>
                <w:u w:val="single"/>
              </w:rPr>
              <w:t>houses</w:t>
            </w:r>
            <w:r>
              <w:rPr>
                <w:rFonts w:ascii="Cambria" w:hAnsi="Cambria"/>
                <w:b/>
                <w:u w:val="single"/>
              </w:rPr>
              <w:t>;</w:t>
            </w:r>
            <w:r w:rsidRPr="00BC5251">
              <w:rPr>
                <w:rFonts w:ascii="Cambria" w:hAnsi="Cambria"/>
              </w:rPr>
              <w:t xml:space="preserve"> </w:t>
            </w:r>
          </w:p>
          <w:p w14:paraId="6A6E2842" w14:textId="77777777" w:rsidR="00BF01FA" w:rsidRPr="00BC5251" w:rsidRDefault="00BF01FA" w:rsidP="00C17CCC">
            <w:pPr>
              <w:pStyle w:val="ListParagraph"/>
              <w:spacing w:line="264" w:lineRule="auto"/>
              <w:ind w:left="676" w:hanging="493"/>
              <w:jc w:val="both"/>
              <w:rPr>
                <w:rFonts w:ascii="Cambria" w:hAnsi="Cambria"/>
              </w:rPr>
            </w:pPr>
          </w:p>
          <w:p w14:paraId="1F0B5B8C" w14:textId="3740B7D9" w:rsidR="00BF01FA" w:rsidRPr="00C17CCC" w:rsidRDefault="00BF01FA" w:rsidP="00C17CCC">
            <w:pPr>
              <w:pStyle w:val="ListParagraph"/>
              <w:numPr>
                <w:ilvl w:val="0"/>
                <w:numId w:val="5"/>
              </w:numPr>
              <w:spacing w:line="264" w:lineRule="auto"/>
              <w:ind w:left="676" w:hanging="493"/>
              <w:jc w:val="both"/>
              <w:rPr>
                <w:rFonts w:ascii="Cambria" w:hAnsi="Cambria"/>
                <w:b/>
                <w:u w:val="single"/>
              </w:rPr>
            </w:pPr>
            <w:r w:rsidRPr="00C17CCC">
              <w:rPr>
                <w:rFonts w:ascii="Cambria" w:hAnsi="Cambria"/>
                <w:bCs/>
              </w:rPr>
              <w:t>In case</w:t>
            </w:r>
            <w:r w:rsidR="00A52D25">
              <w:rPr>
                <w:rFonts w:ascii="Cambria" w:hAnsi="Cambria"/>
                <w:b/>
                <w:u w:val="single"/>
              </w:rPr>
              <w:t xml:space="preserve"> there are 02 or more separate residential housing projects</w:t>
            </w:r>
            <w:r w:rsidRPr="00C17CCC">
              <w:rPr>
                <w:rFonts w:ascii="Cambria" w:hAnsi="Cambria"/>
                <w:b/>
                <w:u w:val="single"/>
              </w:rPr>
              <w:t xml:space="preserve">, </w:t>
            </w:r>
            <w:r w:rsidRPr="00C17CCC">
              <w:rPr>
                <w:rFonts w:ascii="Cambria" w:hAnsi="Cambria"/>
                <w:bCs/>
              </w:rPr>
              <w:t>foreign organizations and individuals are</w:t>
            </w:r>
            <w:r w:rsidRPr="00C17CCC">
              <w:rPr>
                <w:rFonts w:ascii="Cambria" w:hAnsi="Cambria"/>
                <w:b/>
                <w:u w:val="single"/>
              </w:rPr>
              <w:t xml:space="preserve"> only allowed to own no more than 10% of the total number of separate houses in each project and the total number of separate houses</w:t>
            </w:r>
            <w:r>
              <w:rPr>
                <w:rFonts w:ascii="Cambria" w:hAnsi="Cambria"/>
                <w:b/>
                <w:u w:val="single"/>
              </w:rPr>
              <w:t xml:space="preserve"> </w:t>
            </w:r>
            <w:r w:rsidRPr="00C17CCC">
              <w:rPr>
                <w:rFonts w:ascii="Cambria" w:hAnsi="Cambria"/>
                <w:b/>
                <w:u w:val="single"/>
              </w:rPr>
              <w:t>that foreign organizations and individuals may own in all projects not exceeding 250 houses;</w:t>
            </w:r>
          </w:p>
          <w:p w14:paraId="11C3CF19" w14:textId="77777777" w:rsidR="00BF01FA" w:rsidRPr="00BC5251" w:rsidRDefault="00BF01FA" w:rsidP="00C17CCC">
            <w:pPr>
              <w:pStyle w:val="ListParagraph"/>
              <w:spacing w:line="264" w:lineRule="auto"/>
              <w:ind w:left="676" w:hanging="493"/>
              <w:jc w:val="both"/>
              <w:rPr>
                <w:rFonts w:ascii="Cambria" w:hAnsi="Cambria"/>
              </w:rPr>
            </w:pPr>
          </w:p>
          <w:p w14:paraId="1FEC9F44" w14:textId="0205B044" w:rsidR="00BF01FA" w:rsidRPr="00BC5251" w:rsidRDefault="00BF01FA" w:rsidP="00C17CCC">
            <w:pPr>
              <w:pStyle w:val="ListParagraph"/>
              <w:numPr>
                <w:ilvl w:val="0"/>
                <w:numId w:val="5"/>
              </w:numPr>
              <w:spacing w:line="264" w:lineRule="auto"/>
              <w:ind w:left="676" w:hanging="493"/>
              <w:jc w:val="both"/>
              <w:rPr>
                <w:rFonts w:ascii="Cambria" w:hAnsi="Cambria"/>
                <w:iCs/>
              </w:rPr>
            </w:pPr>
            <w:r w:rsidRPr="00C17CCC">
              <w:rPr>
                <w:rFonts w:ascii="Cambria" w:hAnsi="Cambria"/>
                <w:iCs/>
              </w:rPr>
              <w:t xml:space="preserve">In case there are many </w:t>
            </w:r>
            <w:r w:rsidR="00A52D25">
              <w:rPr>
                <w:rFonts w:ascii="Cambria" w:hAnsi="Cambria"/>
                <w:b/>
                <w:u w:val="single"/>
              </w:rPr>
              <w:t>separate residential housing projects</w:t>
            </w:r>
            <w:r w:rsidR="00A52D25" w:rsidRPr="00C17CCC">
              <w:rPr>
                <w:rFonts w:ascii="Cambria" w:hAnsi="Cambria"/>
                <w:iCs/>
              </w:rPr>
              <w:t xml:space="preserve"> </w:t>
            </w:r>
            <w:r w:rsidRPr="00C17CCC">
              <w:rPr>
                <w:rFonts w:ascii="Cambria" w:hAnsi="Cambria"/>
                <w:iCs/>
              </w:rPr>
              <w:t>in an area with a population equivalent to a ward-level administrative unit, and foreign organizations and individuals already own a sufficient number of</w:t>
            </w:r>
            <w:r w:rsidR="00551061">
              <w:rPr>
                <w:rFonts w:ascii="Cambria" w:hAnsi="Cambria"/>
                <w:iCs/>
              </w:rPr>
              <w:t xml:space="preserve"> separate houses as prescribed, f</w:t>
            </w:r>
            <w:r w:rsidRPr="00C17CCC">
              <w:rPr>
                <w:rFonts w:ascii="Cambria" w:hAnsi="Cambria"/>
                <w:iCs/>
              </w:rPr>
              <w:t>oreign organizations and individuals are not allowed to buy and own separate houses in other projects in this area.</w:t>
            </w:r>
          </w:p>
          <w:p w14:paraId="53A6BB7C" w14:textId="77777777" w:rsidR="00BF01FA" w:rsidRPr="00BC5251" w:rsidRDefault="00BF01FA" w:rsidP="00EA777F">
            <w:pPr>
              <w:pStyle w:val="ListParagraph"/>
              <w:spacing w:line="264" w:lineRule="auto"/>
              <w:ind w:left="687"/>
              <w:jc w:val="both"/>
              <w:rPr>
                <w:rFonts w:ascii="Cambria" w:hAnsi="Cambria"/>
              </w:rPr>
            </w:pPr>
          </w:p>
        </w:tc>
      </w:tr>
      <w:tr w:rsidR="00BF01FA" w:rsidRPr="00BC5251" w14:paraId="7C6E7F85" w14:textId="77777777" w:rsidTr="00BF01FA">
        <w:tc>
          <w:tcPr>
            <w:tcW w:w="644" w:type="dxa"/>
          </w:tcPr>
          <w:p w14:paraId="24F2361C" w14:textId="77777777" w:rsidR="00BF01FA" w:rsidRPr="00BC5251" w:rsidRDefault="00BF01FA" w:rsidP="00EA777F">
            <w:pPr>
              <w:pStyle w:val="ListParagraph"/>
              <w:numPr>
                <w:ilvl w:val="0"/>
                <w:numId w:val="1"/>
              </w:numPr>
              <w:spacing w:line="264" w:lineRule="auto"/>
              <w:jc w:val="center"/>
              <w:rPr>
                <w:rFonts w:ascii="Cambria" w:hAnsi="Cambria"/>
              </w:rPr>
            </w:pPr>
          </w:p>
        </w:tc>
        <w:tc>
          <w:tcPr>
            <w:tcW w:w="1892" w:type="dxa"/>
          </w:tcPr>
          <w:p w14:paraId="1217748C" w14:textId="4C1C73F7" w:rsidR="00BF01FA" w:rsidRPr="00BC5251" w:rsidRDefault="00AD5740" w:rsidP="0014093E">
            <w:pPr>
              <w:spacing w:line="264" w:lineRule="auto"/>
              <w:jc w:val="both"/>
              <w:rPr>
                <w:rFonts w:ascii="Cambria" w:hAnsi="Cambria"/>
              </w:rPr>
            </w:pPr>
            <w:r w:rsidRPr="00B22EF3">
              <w:rPr>
                <w:rFonts w:ascii="Cambria" w:hAnsi="Cambria"/>
              </w:rPr>
              <w:t>The right to sell</w:t>
            </w:r>
            <w:r w:rsidR="0014093E">
              <w:rPr>
                <w:rFonts w:ascii="Cambria" w:hAnsi="Cambria"/>
              </w:rPr>
              <w:t>/</w:t>
            </w:r>
            <w:r w:rsidRPr="00B22EF3">
              <w:rPr>
                <w:rFonts w:ascii="Cambria" w:hAnsi="Cambria"/>
              </w:rPr>
              <w:t xml:space="preserve"> donate</w:t>
            </w:r>
            <w:r>
              <w:rPr>
                <w:rFonts w:ascii="Cambria" w:hAnsi="Cambria"/>
              </w:rPr>
              <w:t>.</w:t>
            </w:r>
          </w:p>
        </w:tc>
        <w:tc>
          <w:tcPr>
            <w:tcW w:w="12129" w:type="dxa"/>
            <w:gridSpan w:val="3"/>
          </w:tcPr>
          <w:p w14:paraId="28DED2F0" w14:textId="7C6A14C1" w:rsidR="00BF01FA" w:rsidRPr="00BC5251" w:rsidRDefault="00BF01FA" w:rsidP="00EA777F">
            <w:pPr>
              <w:spacing w:line="264" w:lineRule="auto"/>
              <w:jc w:val="both"/>
              <w:rPr>
                <w:rFonts w:ascii="Cambria" w:hAnsi="Cambria"/>
              </w:rPr>
            </w:pPr>
            <w:r w:rsidRPr="00C17CCC">
              <w:rPr>
                <w:rFonts w:ascii="Cambria" w:hAnsi="Cambria"/>
              </w:rPr>
              <w:t>Before the expiration of the house ownership period (Section 4), the owner may donate or sell this house to subjects eligible to own houses in Vietnam; If the house ownership duration expires but the owner does not sell or donate the house, the house shall be owned by the State.</w:t>
            </w:r>
          </w:p>
        </w:tc>
      </w:tr>
      <w:tr w:rsidR="00BF01FA" w:rsidRPr="00BC5251" w14:paraId="5FC8C820" w14:textId="77777777" w:rsidTr="00BF01FA">
        <w:tc>
          <w:tcPr>
            <w:tcW w:w="644" w:type="dxa"/>
          </w:tcPr>
          <w:p w14:paraId="361F08E7" w14:textId="77777777" w:rsidR="00BF01FA" w:rsidRPr="00BC5251" w:rsidRDefault="00BF01FA" w:rsidP="00EA777F">
            <w:pPr>
              <w:pStyle w:val="ListParagraph"/>
              <w:numPr>
                <w:ilvl w:val="0"/>
                <w:numId w:val="1"/>
              </w:numPr>
              <w:spacing w:line="264" w:lineRule="auto"/>
              <w:jc w:val="center"/>
              <w:rPr>
                <w:rFonts w:ascii="Cambria" w:hAnsi="Cambria"/>
              </w:rPr>
            </w:pPr>
          </w:p>
        </w:tc>
        <w:tc>
          <w:tcPr>
            <w:tcW w:w="1892" w:type="dxa"/>
          </w:tcPr>
          <w:p w14:paraId="5FA55BDC" w14:textId="458A3824" w:rsidR="00BF01FA" w:rsidRPr="00BC5251" w:rsidRDefault="00BF01FA" w:rsidP="00EA777F">
            <w:pPr>
              <w:spacing w:line="264" w:lineRule="auto"/>
              <w:jc w:val="both"/>
              <w:rPr>
                <w:rFonts w:ascii="Cambria" w:hAnsi="Cambria"/>
              </w:rPr>
            </w:pPr>
            <w:r w:rsidRPr="00BC5251">
              <w:rPr>
                <w:rFonts w:ascii="Cambria" w:hAnsi="Cambria"/>
              </w:rPr>
              <w:t>T</w:t>
            </w:r>
            <w:r>
              <w:rPr>
                <w:rFonts w:ascii="Cambria" w:hAnsi="Cambria"/>
              </w:rPr>
              <w:t>axes</w:t>
            </w:r>
            <w:r w:rsidRPr="00BC5251">
              <w:rPr>
                <w:rFonts w:ascii="Cambria" w:hAnsi="Cambria"/>
              </w:rPr>
              <w:t xml:space="preserve"> </w:t>
            </w:r>
          </w:p>
        </w:tc>
        <w:tc>
          <w:tcPr>
            <w:tcW w:w="4612" w:type="dxa"/>
          </w:tcPr>
          <w:p w14:paraId="65C1EDDF" w14:textId="4D105A58" w:rsidR="00BF01FA" w:rsidRPr="00BC5251" w:rsidRDefault="00BF01FA" w:rsidP="00EA777F">
            <w:pPr>
              <w:pStyle w:val="ListParagraph"/>
              <w:numPr>
                <w:ilvl w:val="0"/>
                <w:numId w:val="3"/>
              </w:numPr>
              <w:spacing w:line="264" w:lineRule="auto"/>
              <w:jc w:val="both"/>
              <w:rPr>
                <w:rFonts w:ascii="Cambria" w:hAnsi="Cambria"/>
              </w:rPr>
            </w:pPr>
            <w:r>
              <w:rPr>
                <w:rFonts w:ascii="Cambria" w:hAnsi="Cambria"/>
              </w:rPr>
              <w:t>Agreements</w:t>
            </w:r>
          </w:p>
        </w:tc>
        <w:tc>
          <w:tcPr>
            <w:tcW w:w="7517" w:type="dxa"/>
            <w:gridSpan w:val="2"/>
          </w:tcPr>
          <w:p w14:paraId="5BCF73E1" w14:textId="44E6315A" w:rsidR="00BF01FA" w:rsidRPr="00BC5251" w:rsidRDefault="00BF01FA" w:rsidP="00EA777F">
            <w:pPr>
              <w:pStyle w:val="ListParagraph"/>
              <w:numPr>
                <w:ilvl w:val="0"/>
                <w:numId w:val="3"/>
              </w:numPr>
              <w:spacing w:line="264" w:lineRule="auto"/>
              <w:jc w:val="both"/>
              <w:rPr>
                <w:rFonts w:ascii="Cambria" w:hAnsi="Cambria"/>
              </w:rPr>
            </w:pPr>
            <w:r>
              <w:rPr>
                <w:rFonts w:ascii="Cambria" w:hAnsi="Cambria"/>
                <w:b/>
                <w:bCs/>
              </w:rPr>
              <w:t>Corporate incomes tax (</w:t>
            </w:r>
            <w:r w:rsidRPr="00C17CCC">
              <w:rPr>
                <w:rFonts w:ascii="Cambria" w:hAnsi="Cambria"/>
                <w:b/>
                <w:bCs/>
              </w:rPr>
              <w:t>CIT</w:t>
            </w:r>
            <w:r>
              <w:rPr>
                <w:rFonts w:ascii="Cambria" w:hAnsi="Cambria"/>
                <w:b/>
                <w:bCs/>
              </w:rPr>
              <w:t>)</w:t>
            </w:r>
            <w:r w:rsidRPr="00C17CCC">
              <w:rPr>
                <w:rFonts w:ascii="Cambria" w:hAnsi="Cambria"/>
                <w:b/>
                <w:bCs/>
              </w:rPr>
              <w:t xml:space="preserve">: </w:t>
            </w:r>
            <w:r w:rsidRPr="00C17CCC">
              <w:rPr>
                <w:rFonts w:ascii="Cambria" w:hAnsi="Cambria"/>
              </w:rPr>
              <w:t>In case the organization buys houses directly for employees, it is entitled to depreciate it and calculate it into</w:t>
            </w:r>
            <w:r w:rsidRPr="00C17CCC">
              <w:rPr>
                <w:rFonts w:ascii="Cambria" w:hAnsi="Cambria"/>
                <w:b/>
                <w:bCs/>
              </w:rPr>
              <w:t xml:space="preserve"> </w:t>
            </w:r>
            <w:r w:rsidRPr="00C17CCC">
              <w:rPr>
                <w:rFonts w:ascii="Cambria" w:hAnsi="Cambria"/>
                <w:b/>
                <w:bCs/>
                <w:u w:val="single"/>
              </w:rPr>
              <w:lastRenderedPageBreak/>
              <w:t>deductible expenses</w:t>
            </w:r>
            <w:r w:rsidRPr="00C17CCC">
              <w:rPr>
                <w:rFonts w:ascii="Cambria" w:hAnsi="Cambria"/>
                <w:b/>
                <w:bCs/>
              </w:rPr>
              <w:t xml:space="preserve"> </w:t>
            </w:r>
            <w:r w:rsidRPr="00C17CCC">
              <w:rPr>
                <w:rFonts w:ascii="Cambria" w:hAnsi="Cambria"/>
              </w:rPr>
              <w:t>when determining taxable income. Therefore</w:t>
            </w:r>
            <w:r w:rsidRPr="00C17CCC">
              <w:rPr>
                <w:rFonts w:ascii="Cambria" w:hAnsi="Cambria"/>
                <w:b/>
                <w:bCs/>
              </w:rPr>
              <w:t xml:space="preserve">, </w:t>
            </w:r>
            <w:r w:rsidRPr="00C17CCC">
              <w:rPr>
                <w:rFonts w:ascii="Cambria" w:hAnsi="Cambria"/>
                <w:b/>
                <w:bCs/>
                <w:u w:val="single"/>
              </w:rPr>
              <w:t>the organization of buying housing for employees is not subject to CIT</w:t>
            </w:r>
            <w:r w:rsidRPr="00BC5251">
              <w:rPr>
                <w:rFonts w:ascii="Cambria" w:hAnsi="Cambria"/>
                <w:b/>
                <w:bCs/>
              </w:rPr>
              <w:t>.</w:t>
            </w:r>
          </w:p>
          <w:p w14:paraId="409D5FD8" w14:textId="77777777" w:rsidR="00BF01FA" w:rsidRPr="00BC5251" w:rsidRDefault="00BF01FA" w:rsidP="00EA777F">
            <w:pPr>
              <w:pStyle w:val="ListParagraph"/>
              <w:spacing w:line="264" w:lineRule="auto"/>
              <w:ind w:left="360"/>
              <w:jc w:val="both"/>
              <w:rPr>
                <w:rFonts w:ascii="Cambria" w:hAnsi="Cambria"/>
              </w:rPr>
            </w:pPr>
          </w:p>
          <w:p w14:paraId="7072CAE4" w14:textId="659DB4FA" w:rsidR="00BF01FA" w:rsidRPr="00BC5251" w:rsidRDefault="00BF01FA" w:rsidP="00EA777F">
            <w:pPr>
              <w:pStyle w:val="ListParagraph"/>
              <w:numPr>
                <w:ilvl w:val="0"/>
                <w:numId w:val="3"/>
              </w:numPr>
              <w:spacing w:line="264" w:lineRule="auto"/>
              <w:jc w:val="both"/>
              <w:rPr>
                <w:rFonts w:ascii="Cambria" w:hAnsi="Cambria"/>
              </w:rPr>
            </w:pPr>
            <w:r>
              <w:rPr>
                <w:rFonts w:ascii="Cambria" w:hAnsi="Cambria"/>
                <w:b/>
                <w:bCs/>
              </w:rPr>
              <w:t>Value Added Tax (VAT)</w:t>
            </w:r>
            <w:r w:rsidRPr="00BC5251">
              <w:rPr>
                <w:rFonts w:ascii="Cambria" w:hAnsi="Cambria"/>
                <w:b/>
                <w:bCs/>
              </w:rPr>
              <w:t>:</w:t>
            </w:r>
            <w:r>
              <w:rPr>
                <w:rFonts w:ascii="Cambria" w:hAnsi="Cambria"/>
                <w:b/>
                <w:bCs/>
              </w:rPr>
              <w:t xml:space="preserve"> </w:t>
            </w:r>
            <w:r w:rsidRPr="00732F2B">
              <w:rPr>
                <w:rFonts w:ascii="Cambria" w:hAnsi="Cambria"/>
              </w:rPr>
              <w:t xml:space="preserve">In case organizations buy houses for employees, they will be subject to </w:t>
            </w:r>
            <w:r w:rsidRPr="00732F2B">
              <w:rPr>
                <w:rFonts w:ascii="Cambria" w:hAnsi="Cambria"/>
                <w:b/>
                <w:bCs/>
                <w:u w:val="single"/>
              </w:rPr>
              <w:t>input VAT</w:t>
            </w:r>
            <w:r w:rsidRPr="00732F2B">
              <w:rPr>
                <w:rFonts w:ascii="Cambria" w:hAnsi="Cambria"/>
              </w:rPr>
              <w:t xml:space="preserve"> because they are not included in the deductible expenses according to tax laws. </w:t>
            </w:r>
            <w:r>
              <w:rPr>
                <w:rFonts w:ascii="Cambria" w:hAnsi="Cambria"/>
              </w:rPr>
              <w:t xml:space="preserve"> </w:t>
            </w:r>
          </w:p>
          <w:p w14:paraId="7EDE7C78" w14:textId="77777777" w:rsidR="00BF01FA" w:rsidRPr="00BC5251" w:rsidRDefault="00BF01FA" w:rsidP="00EA777F">
            <w:pPr>
              <w:spacing w:line="264" w:lineRule="auto"/>
              <w:jc w:val="both"/>
              <w:rPr>
                <w:rFonts w:ascii="Cambria" w:hAnsi="Cambria"/>
              </w:rPr>
            </w:pPr>
          </w:p>
        </w:tc>
      </w:tr>
    </w:tbl>
    <w:p w14:paraId="34B261C5" w14:textId="77777777" w:rsidR="00BC5251" w:rsidRPr="00BC5251" w:rsidRDefault="00BC5251" w:rsidP="00BC5251">
      <w:pPr>
        <w:spacing w:after="0" w:line="264" w:lineRule="auto"/>
        <w:rPr>
          <w:rFonts w:ascii="Cambria" w:hAnsi="Cambria"/>
        </w:rPr>
      </w:pPr>
    </w:p>
    <w:p w14:paraId="20CE494D" w14:textId="69792957" w:rsidR="00234C87" w:rsidRPr="00C20648" w:rsidRDefault="00C20648" w:rsidP="00C20648">
      <w:pPr>
        <w:spacing w:after="0" w:line="264" w:lineRule="auto"/>
        <w:jc w:val="right"/>
        <w:rPr>
          <w:rFonts w:ascii="Cambria" w:hAnsi="Cambria"/>
          <w:b/>
          <w:i/>
        </w:rPr>
      </w:pPr>
      <w:bookmarkStart w:id="0" w:name="_GoBack"/>
      <w:bookmarkEnd w:id="0"/>
      <w:r w:rsidRPr="00C20648">
        <w:rPr>
          <w:rFonts w:ascii="Cambria" w:hAnsi="Cambria"/>
          <w:b/>
          <w:i/>
        </w:rPr>
        <w:t>ADK &amp; Co Vietnam Lawyers law Firm</w:t>
      </w:r>
    </w:p>
    <w:sectPr w:rsidR="00234C87" w:rsidRPr="00C20648" w:rsidSect="00A55E04">
      <w:footerReference w:type="default" r:id="rId10"/>
      <w:pgSz w:w="16840" w:h="11907" w:orient="landscape" w:code="9"/>
      <w:pgMar w:top="1440"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8A692" w14:textId="77777777" w:rsidR="008223BC" w:rsidRDefault="008223BC">
      <w:pPr>
        <w:spacing w:after="0" w:line="240" w:lineRule="auto"/>
      </w:pPr>
      <w:r>
        <w:separator/>
      </w:r>
    </w:p>
  </w:endnote>
  <w:endnote w:type="continuationSeparator" w:id="0">
    <w:p w14:paraId="47E92193" w14:textId="77777777" w:rsidR="008223BC" w:rsidRDefault="0082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800094"/>
      <w:docPartObj>
        <w:docPartGallery w:val="Page Numbers (Bottom of Page)"/>
        <w:docPartUnique/>
      </w:docPartObj>
    </w:sdtPr>
    <w:sdtEndPr/>
    <w:sdtContent>
      <w:sdt>
        <w:sdtPr>
          <w:id w:val="-1769616900"/>
          <w:docPartObj>
            <w:docPartGallery w:val="Page Numbers (Top of Page)"/>
            <w:docPartUnique/>
          </w:docPartObj>
        </w:sdtPr>
        <w:sdtEndPr/>
        <w:sdtContent>
          <w:p w14:paraId="3A5D9CDB" w14:textId="7DD97F7B" w:rsidR="00805382" w:rsidRDefault="005A7188">
            <w:pPr>
              <w:pStyle w:val="Footer"/>
              <w:jc w:val="right"/>
            </w:pPr>
            <w:r w:rsidRPr="00805382">
              <w:rPr>
                <w:bCs/>
                <w:sz w:val="24"/>
                <w:szCs w:val="24"/>
              </w:rPr>
              <w:fldChar w:fldCharType="begin"/>
            </w:r>
            <w:r w:rsidRPr="00805382">
              <w:rPr>
                <w:bCs/>
              </w:rPr>
              <w:instrText xml:space="preserve"> PAGE </w:instrText>
            </w:r>
            <w:r w:rsidRPr="00805382">
              <w:rPr>
                <w:bCs/>
                <w:sz w:val="24"/>
                <w:szCs w:val="24"/>
              </w:rPr>
              <w:fldChar w:fldCharType="separate"/>
            </w:r>
            <w:r w:rsidR="00C20648">
              <w:rPr>
                <w:bCs/>
                <w:noProof/>
              </w:rPr>
              <w:t>3</w:t>
            </w:r>
            <w:r w:rsidRPr="00805382">
              <w:rPr>
                <w:bCs/>
                <w:sz w:val="24"/>
                <w:szCs w:val="24"/>
              </w:rPr>
              <w:fldChar w:fldCharType="end"/>
            </w:r>
            <w:r w:rsidRPr="00805382">
              <w:rPr>
                <w:bCs/>
                <w:sz w:val="24"/>
                <w:szCs w:val="24"/>
              </w:rPr>
              <w:t>/</w:t>
            </w:r>
            <w:r w:rsidRPr="00805382">
              <w:rPr>
                <w:bCs/>
                <w:sz w:val="24"/>
                <w:szCs w:val="24"/>
              </w:rPr>
              <w:fldChar w:fldCharType="begin"/>
            </w:r>
            <w:r w:rsidRPr="00805382">
              <w:rPr>
                <w:bCs/>
              </w:rPr>
              <w:instrText xml:space="preserve"> NUMPAGES  </w:instrText>
            </w:r>
            <w:r w:rsidRPr="00805382">
              <w:rPr>
                <w:bCs/>
                <w:sz w:val="24"/>
                <w:szCs w:val="24"/>
              </w:rPr>
              <w:fldChar w:fldCharType="separate"/>
            </w:r>
            <w:r w:rsidR="00C20648">
              <w:rPr>
                <w:bCs/>
                <w:noProof/>
              </w:rPr>
              <w:t>4</w:t>
            </w:r>
            <w:r w:rsidRPr="00805382">
              <w:rPr>
                <w:bCs/>
                <w:sz w:val="24"/>
                <w:szCs w:val="24"/>
              </w:rPr>
              <w:fldChar w:fldCharType="end"/>
            </w:r>
          </w:p>
        </w:sdtContent>
      </w:sdt>
    </w:sdtContent>
  </w:sdt>
  <w:p w14:paraId="345752AE" w14:textId="77777777" w:rsidR="00565CA7" w:rsidRPr="00565CA7" w:rsidRDefault="008223BC" w:rsidP="00565CA7">
    <w:pPr>
      <w:pStyle w:val="Footer"/>
      <w:jc w:val="right"/>
      <w:rPr>
        <w:rFonts w:ascii="Palatino Linotype" w:hAnsi="Palatino Linotyp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1826F" w14:textId="77777777" w:rsidR="008223BC" w:rsidRDefault="008223BC">
      <w:pPr>
        <w:spacing w:after="0" w:line="240" w:lineRule="auto"/>
      </w:pPr>
      <w:r>
        <w:separator/>
      </w:r>
    </w:p>
  </w:footnote>
  <w:footnote w:type="continuationSeparator" w:id="0">
    <w:p w14:paraId="6C4AEF1E" w14:textId="77777777" w:rsidR="008223BC" w:rsidRDefault="00822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D2C52"/>
    <w:multiLevelType w:val="hybridMultilevel"/>
    <w:tmpl w:val="16E6F5EA"/>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
    <w:nsid w:val="131654D7"/>
    <w:multiLevelType w:val="hybridMultilevel"/>
    <w:tmpl w:val="3FCE482E"/>
    <w:lvl w:ilvl="0" w:tplc="552A8726">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8E73F6"/>
    <w:multiLevelType w:val="hybridMultilevel"/>
    <w:tmpl w:val="D34C9B1C"/>
    <w:lvl w:ilvl="0" w:tplc="15188E94">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EE2FB3"/>
    <w:multiLevelType w:val="hybridMultilevel"/>
    <w:tmpl w:val="4A981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1600B8"/>
    <w:multiLevelType w:val="hybridMultilevel"/>
    <w:tmpl w:val="9246EBB0"/>
    <w:lvl w:ilvl="0" w:tplc="552A8726">
      <w:start w:val="1"/>
      <w:numFmt w:val="bullet"/>
      <w:lvlText w:val="-"/>
      <w:lvlJc w:val="left"/>
      <w:pPr>
        <w:ind w:left="360" w:hanging="360"/>
      </w:pPr>
      <w:rPr>
        <w:rFonts w:ascii="Palatino Linotype" w:eastAsiaTheme="minorHAnsi" w:hAnsi="Palatino Linotyp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1tjA1tLAwMTAwM7ZQ0lEKTi0uzszPAykwrAUAMdpdGCwAAAA="/>
  </w:docVars>
  <w:rsids>
    <w:rsidRoot w:val="00BC5251"/>
    <w:rsid w:val="00050551"/>
    <w:rsid w:val="00063AE4"/>
    <w:rsid w:val="0014093E"/>
    <w:rsid w:val="0015210F"/>
    <w:rsid w:val="00163222"/>
    <w:rsid w:val="001D7EB3"/>
    <w:rsid w:val="001E597B"/>
    <w:rsid w:val="00210088"/>
    <w:rsid w:val="00234C87"/>
    <w:rsid w:val="00273B36"/>
    <w:rsid w:val="00294D32"/>
    <w:rsid w:val="002F5C2B"/>
    <w:rsid w:val="003D321C"/>
    <w:rsid w:val="00400494"/>
    <w:rsid w:val="00424F88"/>
    <w:rsid w:val="004253F5"/>
    <w:rsid w:val="00465005"/>
    <w:rsid w:val="004C2B53"/>
    <w:rsid w:val="004D3C5E"/>
    <w:rsid w:val="00520D65"/>
    <w:rsid w:val="00551061"/>
    <w:rsid w:val="005A19A6"/>
    <w:rsid w:val="005A7188"/>
    <w:rsid w:val="006844DC"/>
    <w:rsid w:val="006A6165"/>
    <w:rsid w:val="006B0BA8"/>
    <w:rsid w:val="007028AD"/>
    <w:rsid w:val="00732F2B"/>
    <w:rsid w:val="0078786E"/>
    <w:rsid w:val="00815051"/>
    <w:rsid w:val="008223BC"/>
    <w:rsid w:val="008257DE"/>
    <w:rsid w:val="008D556C"/>
    <w:rsid w:val="00A03D5D"/>
    <w:rsid w:val="00A52D25"/>
    <w:rsid w:val="00AD5740"/>
    <w:rsid w:val="00BB28BA"/>
    <w:rsid w:val="00BC5251"/>
    <w:rsid w:val="00BF01FA"/>
    <w:rsid w:val="00C17CCC"/>
    <w:rsid w:val="00C20648"/>
    <w:rsid w:val="00C27DF4"/>
    <w:rsid w:val="00CD34A3"/>
    <w:rsid w:val="00F43037"/>
    <w:rsid w:val="00F45843"/>
    <w:rsid w:val="00F86006"/>
    <w:rsid w:val="00FA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2672"/>
  <w15:chartTrackingRefBased/>
  <w15:docId w15:val="{D5A89063-CFF3-4FB8-9189-B8C15298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2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5251"/>
    <w:pPr>
      <w:ind w:left="720"/>
      <w:contextualSpacing/>
    </w:pPr>
  </w:style>
  <w:style w:type="paragraph" w:styleId="Footer">
    <w:name w:val="footer"/>
    <w:basedOn w:val="Normal"/>
    <w:link w:val="FooterChar"/>
    <w:uiPriority w:val="99"/>
    <w:unhideWhenUsed/>
    <w:rsid w:val="00BC5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3" ma:contentTypeDescription="Create a new document." ma:contentTypeScope="" ma:versionID="ecbe05aa38dff5cacfe90ae955cb14f8">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126e9d19fba0e5bdca73a01f485336e6"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9891C-CE56-4D21-815C-661450BB186D}">
  <ds:schemaRefs>
    <ds:schemaRef ds:uri="http://schemas.microsoft.com/sharepoint/v3/contenttype/forms"/>
  </ds:schemaRefs>
</ds:datastoreItem>
</file>

<file path=customXml/itemProps2.xml><?xml version="1.0" encoding="utf-8"?>
<ds:datastoreItem xmlns:ds="http://schemas.openxmlformats.org/officeDocument/2006/customXml" ds:itemID="{0DD45E80-E1CB-4A9E-9282-8E1B56970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16b9-a914-4449-99f5-e45da9820376"/>
    <ds:schemaRef ds:uri="966a634a-965c-466f-9078-b4da2c87b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41704-9E41-45DB-BDE8-3BC5F96AAD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LIEN</dc:creator>
  <cp:keywords/>
  <dc:description/>
  <cp:lastModifiedBy>Windows User</cp:lastModifiedBy>
  <cp:revision>7</cp:revision>
  <dcterms:created xsi:type="dcterms:W3CDTF">2021-08-04T09:32:00Z</dcterms:created>
  <dcterms:modified xsi:type="dcterms:W3CDTF">2021-08-16T02:41:00Z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0x010100EE70A77BB236A242AF6B793A55C71521</vt:lpwstr>
  </property>
</Properties>
</file>