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35667" w14:textId="37468CF4" w:rsidR="00D30C8F" w:rsidRPr="00A73587" w:rsidRDefault="00D30C8F" w:rsidP="00A73587">
      <w:pPr>
        <w:pStyle w:val="ListParagraph"/>
        <w:spacing w:after="0" w:line="240" w:lineRule="auto"/>
        <w:ind w:left="0"/>
        <w:rPr>
          <w:rFonts w:ascii="Cambria" w:hAnsi="Cambria"/>
          <w:b/>
          <w:bCs/>
          <w:color w:val="C00000"/>
        </w:rPr>
      </w:pPr>
    </w:p>
    <w:p w14:paraId="1EBC7570" w14:textId="77777777" w:rsidR="00D30C8F" w:rsidRPr="00A73587" w:rsidRDefault="00D30C8F" w:rsidP="00A73587">
      <w:pPr>
        <w:pStyle w:val="ListParagraph"/>
        <w:spacing w:after="0" w:line="240" w:lineRule="auto"/>
        <w:ind w:left="0"/>
        <w:jc w:val="center"/>
        <w:rPr>
          <w:rFonts w:ascii="Cambria" w:hAnsi="Cambria"/>
          <w:b/>
          <w:bCs/>
          <w:color w:val="000000" w:themeColor="text1"/>
        </w:rPr>
      </w:pPr>
      <w:r w:rsidRPr="00A73587">
        <w:rPr>
          <w:rFonts w:ascii="Cambria" w:hAnsi="Cambria"/>
          <w:b/>
          <w:bCs/>
          <w:color w:val="000000" w:themeColor="text1"/>
        </w:rPr>
        <w:t>PROCEDURES FOR INSURANCE OF ELECTRICITY ACTIVITY LICENSE</w:t>
      </w:r>
    </w:p>
    <w:p w14:paraId="3EF21105" w14:textId="77777777" w:rsidR="00D30C8F" w:rsidRPr="00A73587" w:rsidRDefault="00D30C8F" w:rsidP="00A73587">
      <w:pPr>
        <w:pStyle w:val="ListParagraph"/>
        <w:spacing w:after="0" w:line="240" w:lineRule="auto"/>
        <w:ind w:left="0"/>
        <w:rPr>
          <w:rFonts w:ascii="Cambria" w:hAnsi="Cambria"/>
          <w:b/>
          <w:bCs/>
          <w:color w:val="000000" w:themeColor="text1"/>
        </w:rPr>
      </w:pPr>
    </w:p>
    <w:p w14:paraId="6783C3A8" w14:textId="77777777" w:rsidR="00D30C8F" w:rsidRPr="00A73587" w:rsidRDefault="00D30C8F" w:rsidP="00A73587">
      <w:pPr>
        <w:pStyle w:val="ListParagraph"/>
        <w:spacing w:after="0" w:line="240" w:lineRule="auto"/>
        <w:ind w:left="0"/>
        <w:rPr>
          <w:rFonts w:ascii="Cambria" w:hAnsi="Cambria"/>
          <w:b/>
          <w:bCs/>
          <w:i/>
          <w:iCs/>
          <w:color w:val="000000" w:themeColor="text1"/>
        </w:rPr>
      </w:pPr>
      <w:r w:rsidRPr="00A73587">
        <w:rPr>
          <w:rFonts w:ascii="Cambria" w:hAnsi="Cambria"/>
          <w:b/>
          <w:bCs/>
          <w:i/>
          <w:iCs/>
          <w:color w:val="000000" w:themeColor="text1"/>
        </w:rPr>
        <w:t>Legal grounds:</w:t>
      </w:r>
    </w:p>
    <w:p w14:paraId="44F5F1E0" w14:textId="77777777" w:rsidR="00D30C8F" w:rsidRPr="00A73587" w:rsidRDefault="00D30C8F" w:rsidP="00A73587">
      <w:pPr>
        <w:pStyle w:val="ListParagraph"/>
        <w:spacing w:after="0" w:line="240" w:lineRule="auto"/>
        <w:ind w:left="0"/>
        <w:rPr>
          <w:rFonts w:ascii="Cambria" w:hAnsi="Cambria"/>
          <w:i/>
          <w:iCs/>
          <w:color w:val="000000" w:themeColor="text1"/>
        </w:rPr>
      </w:pPr>
    </w:p>
    <w:p w14:paraId="2A4D0328" w14:textId="212065BC" w:rsidR="00D30C8F" w:rsidRPr="00A73587" w:rsidRDefault="00D30C8F" w:rsidP="00A73587">
      <w:pPr>
        <w:pStyle w:val="ListParagraph"/>
        <w:spacing w:after="0" w:line="240" w:lineRule="auto"/>
        <w:ind w:left="0"/>
        <w:rPr>
          <w:rFonts w:ascii="Cambria" w:hAnsi="Cambria"/>
          <w:i/>
          <w:iCs/>
          <w:color w:val="000000" w:themeColor="text1"/>
        </w:rPr>
      </w:pPr>
      <w:r w:rsidRPr="00A73587">
        <w:rPr>
          <w:rFonts w:ascii="Cambria" w:hAnsi="Cambria"/>
          <w:i/>
          <w:iCs/>
          <w:color w:val="000000" w:themeColor="text1"/>
        </w:rPr>
        <w:t>Circular 21/2020/TT-BCT</w:t>
      </w:r>
      <w:r w:rsidR="00A73587">
        <w:rPr>
          <w:rFonts w:ascii="Cambria" w:hAnsi="Cambria"/>
          <w:i/>
          <w:iCs/>
          <w:color w:val="000000" w:themeColor="text1"/>
        </w:rPr>
        <w:t xml:space="preserve"> of the Ministry of Industry and Trade</w:t>
      </w:r>
      <w:r w:rsidRPr="00A73587">
        <w:rPr>
          <w:rFonts w:ascii="Cambria" w:hAnsi="Cambria"/>
          <w:i/>
          <w:iCs/>
          <w:color w:val="000000" w:themeColor="text1"/>
        </w:rPr>
        <w:t>;</w:t>
      </w:r>
    </w:p>
    <w:p w14:paraId="677ED4C5" w14:textId="77777777" w:rsidR="00D30C8F" w:rsidRPr="00A73587" w:rsidRDefault="00D30C8F" w:rsidP="00A73587">
      <w:pPr>
        <w:pStyle w:val="ListParagraph"/>
        <w:spacing w:after="0" w:line="240" w:lineRule="auto"/>
        <w:ind w:left="0"/>
        <w:rPr>
          <w:rFonts w:ascii="Cambria" w:hAnsi="Cambria"/>
          <w:i/>
          <w:iCs/>
          <w:color w:val="000000" w:themeColor="text1"/>
        </w:rPr>
      </w:pPr>
    </w:p>
    <w:p w14:paraId="07B56F19" w14:textId="22793351" w:rsidR="00D30C8F" w:rsidRPr="00A73587" w:rsidRDefault="00D30C8F" w:rsidP="00A73587">
      <w:pPr>
        <w:pStyle w:val="ListParagraph"/>
        <w:spacing w:after="0" w:line="240" w:lineRule="auto"/>
        <w:ind w:left="0"/>
        <w:rPr>
          <w:rFonts w:ascii="Cambria" w:hAnsi="Cambria"/>
          <w:i/>
          <w:iCs/>
          <w:color w:val="000000" w:themeColor="text1"/>
        </w:rPr>
      </w:pPr>
      <w:r w:rsidRPr="00A73587">
        <w:rPr>
          <w:rFonts w:ascii="Cambria" w:hAnsi="Cambria"/>
          <w:i/>
          <w:iCs/>
          <w:color w:val="000000" w:themeColor="text1"/>
        </w:rPr>
        <w:t>Decree 17/2020/ND-CP</w:t>
      </w:r>
      <w:r w:rsidR="00A73587">
        <w:rPr>
          <w:rFonts w:ascii="Cambria" w:hAnsi="Cambria"/>
          <w:i/>
          <w:iCs/>
          <w:color w:val="000000" w:themeColor="text1"/>
        </w:rPr>
        <w:t xml:space="preserve"> of the Government</w:t>
      </w:r>
      <w:r w:rsidRPr="00A73587">
        <w:rPr>
          <w:rFonts w:ascii="Cambria" w:hAnsi="Cambria"/>
          <w:i/>
          <w:iCs/>
          <w:color w:val="000000" w:themeColor="text1"/>
        </w:rPr>
        <w:t>.</w:t>
      </w:r>
    </w:p>
    <w:p w14:paraId="5673CA47" w14:textId="77777777" w:rsidR="00D30C8F" w:rsidRPr="00A73587" w:rsidRDefault="00D30C8F" w:rsidP="00A73587">
      <w:pPr>
        <w:pStyle w:val="ListParagraph"/>
        <w:spacing w:after="0" w:line="240" w:lineRule="auto"/>
        <w:ind w:left="0"/>
        <w:rPr>
          <w:rFonts w:ascii="Cambria" w:hAnsi="Cambria"/>
          <w:color w:val="000000" w:themeColor="text1"/>
        </w:rPr>
      </w:pPr>
    </w:p>
    <w:p w14:paraId="3323E87A" w14:textId="55F7C28D" w:rsidR="00D30C8F" w:rsidRPr="00A73587" w:rsidRDefault="00D30C8F" w:rsidP="00A73587">
      <w:pPr>
        <w:pStyle w:val="ListParagraph"/>
        <w:numPr>
          <w:ilvl w:val="0"/>
          <w:numId w:val="12"/>
        </w:numPr>
        <w:spacing w:after="0" w:line="240" w:lineRule="auto"/>
        <w:ind w:hanging="720"/>
        <w:rPr>
          <w:rFonts w:ascii="Cambria" w:hAnsi="Cambria"/>
          <w:b/>
          <w:bCs/>
          <w:color w:val="000000" w:themeColor="text1"/>
        </w:rPr>
      </w:pPr>
      <w:r w:rsidRPr="00A73587">
        <w:rPr>
          <w:rFonts w:ascii="Cambria" w:hAnsi="Cambria"/>
          <w:b/>
          <w:bCs/>
          <w:color w:val="000000" w:themeColor="text1"/>
        </w:rPr>
        <w:t>Which agency is competent to issue electricity activity licenses?</w:t>
      </w:r>
    </w:p>
    <w:p w14:paraId="039A4C44" w14:textId="77777777" w:rsidR="00D30C8F" w:rsidRPr="00A73587" w:rsidRDefault="00D30C8F" w:rsidP="00A73587">
      <w:pPr>
        <w:pStyle w:val="ListParagraph"/>
        <w:spacing w:after="0" w:line="240" w:lineRule="auto"/>
        <w:ind w:left="0"/>
        <w:rPr>
          <w:rFonts w:ascii="Cambria" w:hAnsi="Cambria"/>
          <w:color w:val="000000" w:themeColor="text1"/>
        </w:rPr>
      </w:pPr>
    </w:p>
    <w:p w14:paraId="516C8C2B" w14:textId="43083CC0" w:rsidR="00D30C8F" w:rsidRPr="00A73587" w:rsidRDefault="00D30C8F" w:rsidP="00A73587">
      <w:pPr>
        <w:pStyle w:val="ListParagraph"/>
        <w:spacing w:after="0" w:line="240" w:lineRule="auto"/>
        <w:ind w:left="0"/>
        <w:jc w:val="both"/>
        <w:rPr>
          <w:rFonts w:ascii="Cambria" w:hAnsi="Cambria"/>
          <w:color w:val="000000" w:themeColor="text1"/>
        </w:rPr>
      </w:pPr>
      <w:r w:rsidRPr="00A73587">
        <w:rPr>
          <w:rFonts w:ascii="Cambria" w:hAnsi="Cambria"/>
          <w:color w:val="000000" w:themeColor="text1"/>
        </w:rPr>
        <w:t xml:space="preserve">Article 12 of Circular 12/2021/TT-BTC stipulates that the authority of the authority that is </w:t>
      </w:r>
      <w:r w:rsidR="003B7D68" w:rsidRPr="00A73587">
        <w:rPr>
          <w:rFonts w:ascii="Cambria" w:hAnsi="Cambria"/>
          <w:color w:val="000000" w:themeColor="text1"/>
        </w:rPr>
        <w:t>issu</w:t>
      </w:r>
      <w:r w:rsidRPr="00A73587">
        <w:rPr>
          <w:rFonts w:ascii="Cambria" w:hAnsi="Cambria"/>
          <w:color w:val="000000" w:themeColor="text1"/>
        </w:rPr>
        <w:t>ed an electricity activity license is as follows:</w:t>
      </w:r>
    </w:p>
    <w:p w14:paraId="4C4A21B1" w14:textId="77777777" w:rsidR="00D30C8F" w:rsidRPr="00A73587" w:rsidRDefault="00D30C8F" w:rsidP="00A73587">
      <w:pPr>
        <w:pStyle w:val="ListParagraph"/>
        <w:spacing w:after="0" w:line="240" w:lineRule="auto"/>
        <w:ind w:left="0"/>
        <w:jc w:val="both"/>
        <w:rPr>
          <w:rFonts w:ascii="Cambria" w:hAnsi="Cambria"/>
          <w:color w:val="000000" w:themeColor="text1"/>
        </w:rPr>
      </w:pPr>
    </w:p>
    <w:p w14:paraId="52FB557F" w14:textId="0D12C65B" w:rsidR="00D30C8F" w:rsidRPr="00A73587" w:rsidRDefault="00D30C8F" w:rsidP="00A73587">
      <w:pPr>
        <w:pStyle w:val="ListParagraph"/>
        <w:numPr>
          <w:ilvl w:val="0"/>
          <w:numId w:val="13"/>
        </w:numPr>
        <w:spacing w:after="0" w:line="240" w:lineRule="auto"/>
        <w:ind w:hanging="720"/>
        <w:jc w:val="both"/>
        <w:rPr>
          <w:rFonts w:ascii="Cambria" w:hAnsi="Cambria"/>
          <w:color w:val="000000" w:themeColor="text1"/>
        </w:rPr>
      </w:pPr>
      <w:r w:rsidRPr="00A73587">
        <w:rPr>
          <w:rFonts w:ascii="Cambria" w:hAnsi="Cambria"/>
          <w:color w:val="000000" w:themeColor="text1"/>
        </w:rPr>
        <w:t>The Ministry of Industry and Trade issues electricity activity licenses for electricity transmission and power generation activities for large power plants, which are of particular importance in terms of socio-economic, national defense, and security in the country</w:t>
      </w:r>
      <w:r w:rsidR="003B7D68" w:rsidRPr="00A73587">
        <w:rPr>
          <w:rFonts w:ascii="Cambria" w:hAnsi="Cambria"/>
          <w:color w:val="000000" w:themeColor="text1"/>
        </w:rPr>
        <w:t xml:space="preserve"> in</w:t>
      </w:r>
      <w:r w:rsidRPr="00A73587">
        <w:rPr>
          <w:rFonts w:ascii="Cambria" w:hAnsi="Cambria"/>
          <w:color w:val="000000" w:themeColor="text1"/>
        </w:rPr>
        <w:t xml:space="preserve"> the list </w:t>
      </w:r>
      <w:r w:rsidR="003B7D68" w:rsidRPr="00A73587">
        <w:rPr>
          <w:rFonts w:ascii="Cambria" w:hAnsi="Cambria"/>
          <w:color w:val="000000" w:themeColor="text1"/>
        </w:rPr>
        <w:t xml:space="preserve">that is </w:t>
      </w:r>
      <w:r w:rsidRPr="00A73587">
        <w:rPr>
          <w:rFonts w:ascii="Cambria" w:hAnsi="Cambria"/>
          <w:color w:val="000000" w:themeColor="text1"/>
        </w:rPr>
        <w:t>approved by the Prime Minister;</w:t>
      </w:r>
    </w:p>
    <w:p w14:paraId="0F0BCCF2" w14:textId="77777777" w:rsidR="00D30C8F" w:rsidRPr="00A73587" w:rsidRDefault="00D30C8F" w:rsidP="00A73587">
      <w:pPr>
        <w:pStyle w:val="ListParagraph"/>
        <w:spacing w:after="0" w:line="240" w:lineRule="auto"/>
        <w:ind w:left="0" w:hanging="720"/>
        <w:jc w:val="both"/>
        <w:rPr>
          <w:rFonts w:ascii="Cambria" w:hAnsi="Cambria"/>
          <w:color w:val="000000" w:themeColor="text1"/>
        </w:rPr>
      </w:pPr>
    </w:p>
    <w:p w14:paraId="52C2114A" w14:textId="51A757A5" w:rsidR="00D30C8F" w:rsidRPr="00A73587" w:rsidRDefault="00D30C8F" w:rsidP="00A73587">
      <w:pPr>
        <w:pStyle w:val="ListParagraph"/>
        <w:numPr>
          <w:ilvl w:val="0"/>
          <w:numId w:val="13"/>
        </w:numPr>
        <w:spacing w:after="0" w:line="240" w:lineRule="auto"/>
        <w:ind w:hanging="720"/>
        <w:jc w:val="both"/>
        <w:rPr>
          <w:rFonts w:ascii="Cambria" w:hAnsi="Cambria"/>
          <w:color w:val="000000" w:themeColor="text1"/>
        </w:rPr>
      </w:pPr>
      <w:r w:rsidRPr="00A73587">
        <w:rPr>
          <w:rFonts w:ascii="Cambria" w:hAnsi="Cambria"/>
          <w:color w:val="000000" w:themeColor="text1"/>
        </w:rPr>
        <w:t>Electricity Regulatory Authority issues electricity activity licenses for electricity distribution, electricity wholesale, and retail activities, specialized electricity consultancy, and electricity generation activities for power plants with large capacities from 03 MW or more and not in cases where the Ministry of Industry and Trade is competent;</w:t>
      </w:r>
    </w:p>
    <w:p w14:paraId="7A1E389E" w14:textId="77777777" w:rsidR="00D30C8F" w:rsidRPr="00A73587" w:rsidRDefault="00D30C8F" w:rsidP="00A73587">
      <w:pPr>
        <w:pStyle w:val="ListParagraph"/>
        <w:spacing w:after="0" w:line="240" w:lineRule="auto"/>
        <w:ind w:left="0" w:hanging="720"/>
        <w:jc w:val="both"/>
        <w:rPr>
          <w:rFonts w:ascii="Cambria" w:hAnsi="Cambria"/>
          <w:color w:val="000000" w:themeColor="text1"/>
        </w:rPr>
      </w:pPr>
    </w:p>
    <w:p w14:paraId="746F0573" w14:textId="1BDA298A" w:rsidR="00D30C8F" w:rsidRPr="00A73587" w:rsidRDefault="00D30C8F" w:rsidP="00A73587">
      <w:pPr>
        <w:pStyle w:val="ListParagraph"/>
        <w:numPr>
          <w:ilvl w:val="0"/>
          <w:numId w:val="13"/>
        </w:numPr>
        <w:spacing w:after="0" w:line="240" w:lineRule="auto"/>
        <w:ind w:hanging="720"/>
        <w:jc w:val="both"/>
        <w:rPr>
          <w:rFonts w:ascii="Cambria" w:hAnsi="Cambria"/>
          <w:color w:val="000000" w:themeColor="text1"/>
        </w:rPr>
      </w:pPr>
      <w:r w:rsidRPr="00A73587">
        <w:rPr>
          <w:rFonts w:ascii="Cambria" w:hAnsi="Cambria"/>
          <w:color w:val="000000" w:themeColor="text1"/>
        </w:rPr>
        <w:t>The People's Committees of the provinces and centrally-run cities shall grant or authorize the Department of Industry and Trade to grant electricity activity licenses for the following fields:</w:t>
      </w:r>
    </w:p>
    <w:p w14:paraId="6230F6F3" w14:textId="77777777" w:rsidR="00D30C8F" w:rsidRPr="00A73587" w:rsidRDefault="00D30C8F" w:rsidP="00A73587">
      <w:pPr>
        <w:pStyle w:val="ListParagraph"/>
        <w:spacing w:after="0" w:line="240" w:lineRule="auto"/>
        <w:ind w:left="0"/>
        <w:jc w:val="both"/>
        <w:rPr>
          <w:rFonts w:ascii="Cambria" w:hAnsi="Cambria"/>
          <w:color w:val="000000" w:themeColor="text1"/>
        </w:rPr>
      </w:pPr>
    </w:p>
    <w:p w14:paraId="0B7EB0F5" w14:textId="705C93A8" w:rsidR="00D30C8F" w:rsidRPr="00A73587" w:rsidRDefault="00D30C8F" w:rsidP="00A73587">
      <w:pPr>
        <w:pStyle w:val="ListParagraph"/>
        <w:numPr>
          <w:ilvl w:val="0"/>
          <w:numId w:val="14"/>
        </w:numPr>
        <w:spacing w:after="0" w:line="240" w:lineRule="auto"/>
        <w:ind w:left="1418" w:hanging="709"/>
        <w:jc w:val="both"/>
        <w:rPr>
          <w:rFonts w:ascii="Cambria" w:hAnsi="Cambria"/>
          <w:color w:val="000000" w:themeColor="text1"/>
        </w:rPr>
      </w:pPr>
      <w:r w:rsidRPr="00A73587">
        <w:rPr>
          <w:rFonts w:ascii="Cambria" w:hAnsi="Cambria"/>
          <w:color w:val="000000" w:themeColor="text1"/>
        </w:rPr>
        <w:t>Power generation activities for power plants with a capacity of less than 03 MW located in the locality;</w:t>
      </w:r>
    </w:p>
    <w:p w14:paraId="165750F7" w14:textId="77777777" w:rsidR="00D30C8F" w:rsidRPr="00A73587" w:rsidRDefault="00D30C8F" w:rsidP="00A73587">
      <w:pPr>
        <w:pStyle w:val="ListParagraph"/>
        <w:spacing w:after="0" w:line="240" w:lineRule="auto"/>
        <w:ind w:left="1418" w:hanging="709"/>
        <w:jc w:val="both"/>
        <w:rPr>
          <w:rFonts w:ascii="Cambria" w:hAnsi="Cambria"/>
          <w:color w:val="000000" w:themeColor="text1"/>
        </w:rPr>
      </w:pPr>
    </w:p>
    <w:p w14:paraId="2EC9E2C8" w14:textId="04757ACD" w:rsidR="00D30C8F" w:rsidRPr="00A73587" w:rsidRDefault="00D30C8F" w:rsidP="00A73587">
      <w:pPr>
        <w:pStyle w:val="ListParagraph"/>
        <w:numPr>
          <w:ilvl w:val="0"/>
          <w:numId w:val="14"/>
        </w:numPr>
        <w:spacing w:after="0" w:line="240" w:lineRule="auto"/>
        <w:ind w:left="1418" w:hanging="709"/>
        <w:jc w:val="both"/>
        <w:rPr>
          <w:rFonts w:ascii="Cambria" w:hAnsi="Cambria"/>
          <w:color w:val="000000" w:themeColor="text1"/>
        </w:rPr>
      </w:pPr>
      <w:r w:rsidRPr="00A73587">
        <w:rPr>
          <w:rFonts w:ascii="Cambria" w:hAnsi="Cambria"/>
          <w:color w:val="000000" w:themeColor="text1"/>
        </w:rPr>
        <w:t>Power distribution activities up to the local voltage level of 35 kV;</w:t>
      </w:r>
    </w:p>
    <w:p w14:paraId="120DDE56" w14:textId="77777777" w:rsidR="00D30C8F" w:rsidRPr="00A73587" w:rsidRDefault="00D30C8F" w:rsidP="00A73587">
      <w:pPr>
        <w:pStyle w:val="ListParagraph"/>
        <w:spacing w:after="0" w:line="240" w:lineRule="auto"/>
        <w:ind w:left="1418" w:hanging="709"/>
        <w:jc w:val="both"/>
        <w:rPr>
          <w:rFonts w:ascii="Cambria" w:hAnsi="Cambria"/>
          <w:color w:val="000000" w:themeColor="text1"/>
        </w:rPr>
      </w:pPr>
    </w:p>
    <w:p w14:paraId="39174E40" w14:textId="29F4B64F" w:rsidR="00D30C8F" w:rsidRPr="00A73587" w:rsidRDefault="00D30C8F" w:rsidP="00A73587">
      <w:pPr>
        <w:pStyle w:val="ListParagraph"/>
        <w:numPr>
          <w:ilvl w:val="0"/>
          <w:numId w:val="14"/>
        </w:numPr>
        <w:spacing w:after="0" w:line="240" w:lineRule="auto"/>
        <w:ind w:left="1418" w:hanging="709"/>
        <w:jc w:val="both"/>
        <w:rPr>
          <w:rFonts w:ascii="Cambria" w:hAnsi="Cambria"/>
          <w:color w:val="000000" w:themeColor="text1"/>
        </w:rPr>
      </w:pPr>
      <w:r w:rsidRPr="00A73587">
        <w:rPr>
          <w:rFonts w:ascii="Cambria" w:hAnsi="Cambria"/>
          <w:color w:val="000000" w:themeColor="text1"/>
        </w:rPr>
        <w:t>Retailing electricity up to the local voltage level of 0.4 kV;</w:t>
      </w:r>
    </w:p>
    <w:p w14:paraId="4E21D241" w14:textId="77777777" w:rsidR="00D30C8F" w:rsidRPr="00A73587" w:rsidRDefault="00D30C8F" w:rsidP="00A73587">
      <w:pPr>
        <w:pStyle w:val="ListParagraph"/>
        <w:spacing w:after="0" w:line="240" w:lineRule="auto"/>
        <w:ind w:left="1418" w:hanging="709"/>
        <w:jc w:val="both"/>
        <w:rPr>
          <w:rFonts w:ascii="Cambria" w:hAnsi="Cambria"/>
          <w:color w:val="000000" w:themeColor="text1"/>
        </w:rPr>
      </w:pPr>
    </w:p>
    <w:p w14:paraId="028BDBC3" w14:textId="2C02B224" w:rsidR="00D30C8F" w:rsidRPr="00A73587" w:rsidRDefault="00D30C8F" w:rsidP="00A73587">
      <w:pPr>
        <w:pStyle w:val="ListParagraph"/>
        <w:numPr>
          <w:ilvl w:val="0"/>
          <w:numId w:val="14"/>
        </w:numPr>
        <w:spacing w:after="0" w:line="240" w:lineRule="auto"/>
        <w:ind w:left="1418" w:hanging="709"/>
        <w:jc w:val="both"/>
        <w:rPr>
          <w:rFonts w:ascii="Cambria" w:hAnsi="Cambria"/>
          <w:color w:val="000000" w:themeColor="text1"/>
        </w:rPr>
      </w:pPr>
      <w:r w:rsidRPr="00A73587">
        <w:rPr>
          <w:rFonts w:ascii="Cambria" w:hAnsi="Cambria"/>
          <w:color w:val="000000" w:themeColor="text1"/>
        </w:rPr>
        <w:t>Consulting specialized in electricity, including:</w:t>
      </w:r>
    </w:p>
    <w:p w14:paraId="4A7A7AA4" w14:textId="77777777" w:rsidR="00D30C8F" w:rsidRPr="00A73587" w:rsidRDefault="00D30C8F" w:rsidP="00A73587">
      <w:pPr>
        <w:pStyle w:val="ListParagraph"/>
        <w:spacing w:after="0" w:line="240" w:lineRule="auto"/>
        <w:ind w:left="0"/>
        <w:jc w:val="both"/>
        <w:rPr>
          <w:rFonts w:ascii="Cambria" w:hAnsi="Cambria"/>
          <w:color w:val="000000" w:themeColor="text1"/>
        </w:rPr>
      </w:pPr>
    </w:p>
    <w:p w14:paraId="00653B53" w14:textId="77777777" w:rsidR="00D30C8F" w:rsidRPr="00A73587" w:rsidRDefault="00D30C8F" w:rsidP="00A73587">
      <w:pPr>
        <w:pStyle w:val="ListParagraph"/>
        <w:numPr>
          <w:ilvl w:val="0"/>
          <w:numId w:val="16"/>
        </w:numPr>
        <w:spacing w:after="0" w:line="240" w:lineRule="auto"/>
        <w:ind w:left="2127"/>
        <w:jc w:val="both"/>
        <w:rPr>
          <w:rFonts w:ascii="Cambria" w:hAnsi="Cambria"/>
          <w:color w:val="000000" w:themeColor="text1"/>
        </w:rPr>
      </w:pPr>
      <w:r w:rsidRPr="00A73587">
        <w:rPr>
          <w:rFonts w:ascii="Cambria" w:hAnsi="Cambria"/>
          <w:color w:val="000000" w:themeColor="text1"/>
        </w:rPr>
        <w:t>Design consultancy for transmission lines and substations with voltage up to 35 kV, business registration in the locality;</w:t>
      </w:r>
    </w:p>
    <w:p w14:paraId="40C20DCF" w14:textId="77777777" w:rsidR="00D30C8F" w:rsidRPr="00A73587" w:rsidRDefault="00D30C8F" w:rsidP="00A73587">
      <w:pPr>
        <w:pStyle w:val="ListParagraph"/>
        <w:spacing w:after="0" w:line="240" w:lineRule="auto"/>
        <w:ind w:left="2127"/>
        <w:jc w:val="both"/>
        <w:rPr>
          <w:rFonts w:ascii="Cambria" w:hAnsi="Cambria"/>
          <w:color w:val="000000" w:themeColor="text1"/>
        </w:rPr>
      </w:pPr>
    </w:p>
    <w:p w14:paraId="289A36D2" w14:textId="46A19AF2" w:rsidR="00D30C8F" w:rsidRPr="00A73587" w:rsidRDefault="00D30C8F" w:rsidP="00A73587">
      <w:pPr>
        <w:pStyle w:val="ListParagraph"/>
        <w:numPr>
          <w:ilvl w:val="0"/>
          <w:numId w:val="16"/>
        </w:numPr>
        <w:spacing w:after="0" w:line="240" w:lineRule="auto"/>
        <w:ind w:left="2127"/>
        <w:jc w:val="both"/>
        <w:rPr>
          <w:rFonts w:ascii="Cambria" w:hAnsi="Cambria"/>
          <w:color w:val="000000" w:themeColor="text1"/>
        </w:rPr>
      </w:pPr>
      <w:r w:rsidRPr="00A73587">
        <w:rPr>
          <w:rFonts w:ascii="Cambria" w:hAnsi="Cambria"/>
          <w:color w:val="000000" w:themeColor="text1"/>
        </w:rPr>
        <w:t>Construction supervision consultant for transmission lines and substations with voltage up to 35 kV, business registration in the locality.</w:t>
      </w:r>
    </w:p>
    <w:p w14:paraId="68EAFFE1" w14:textId="77777777" w:rsidR="006931A3" w:rsidRPr="00A73587" w:rsidRDefault="006931A3" w:rsidP="00A73587">
      <w:pPr>
        <w:pStyle w:val="ListParagraph"/>
        <w:spacing w:after="0" w:line="240" w:lineRule="auto"/>
        <w:jc w:val="both"/>
        <w:rPr>
          <w:rFonts w:ascii="Cambria" w:hAnsi="Cambria"/>
          <w:color w:val="000000" w:themeColor="text1"/>
        </w:rPr>
      </w:pPr>
    </w:p>
    <w:p w14:paraId="4FFD4795" w14:textId="74868D63" w:rsidR="006931A3" w:rsidRPr="00A73587" w:rsidRDefault="006931A3" w:rsidP="00A73587">
      <w:pPr>
        <w:pStyle w:val="ListParagraph"/>
        <w:numPr>
          <w:ilvl w:val="0"/>
          <w:numId w:val="12"/>
        </w:numPr>
        <w:spacing w:after="0" w:line="240" w:lineRule="auto"/>
        <w:ind w:hanging="720"/>
        <w:jc w:val="both"/>
        <w:rPr>
          <w:rFonts w:ascii="Cambria" w:hAnsi="Cambria"/>
          <w:b/>
          <w:bCs/>
          <w:color w:val="000000" w:themeColor="text1"/>
        </w:rPr>
      </w:pPr>
      <w:r w:rsidRPr="00A73587">
        <w:rPr>
          <w:rFonts w:ascii="Cambria" w:hAnsi="Cambria"/>
          <w:b/>
          <w:bCs/>
          <w:color w:val="000000" w:themeColor="text1"/>
        </w:rPr>
        <w:t>What are the processes and procedures for granting electricity activity licenses to enterprises?</w:t>
      </w:r>
    </w:p>
    <w:p w14:paraId="42AFFD17" w14:textId="77777777" w:rsidR="006931A3" w:rsidRPr="00A73587" w:rsidRDefault="006931A3" w:rsidP="00A73587">
      <w:pPr>
        <w:spacing w:after="0" w:line="240" w:lineRule="auto"/>
        <w:jc w:val="both"/>
        <w:rPr>
          <w:rFonts w:ascii="Cambria" w:hAnsi="Cambria"/>
          <w:color w:val="000000" w:themeColor="text1"/>
        </w:rPr>
      </w:pPr>
    </w:p>
    <w:p w14:paraId="748D2CA6" w14:textId="344E4ADA" w:rsidR="006931A3" w:rsidRPr="00A73587" w:rsidRDefault="006931A3" w:rsidP="00A73587">
      <w:pPr>
        <w:pStyle w:val="ListParagraph"/>
        <w:numPr>
          <w:ilvl w:val="0"/>
          <w:numId w:val="17"/>
        </w:numPr>
        <w:spacing w:after="0" w:line="240" w:lineRule="auto"/>
        <w:ind w:hanging="720"/>
        <w:jc w:val="both"/>
        <w:rPr>
          <w:rFonts w:ascii="Cambria" w:hAnsi="Cambria"/>
          <w:color w:val="000000" w:themeColor="text1"/>
        </w:rPr>
      </w:pPr>
      <w:r w:rsidRPr="00A73587">
        <w:rPr>
          <w:rFonts w:ascii="Cambria" w:hAnsi="Cambria"/>
          <w:color w:val="000000" w:themeColor="text1"/>
        </w:rPr>
        <w:lastRenderedPageBreak/>
        <w:t>Organizations and individuals applying for an electricity activity license shall send 1 set of documents to the licensing authority for electricity activities as prescribed in Chapter II of Circular 21/2020/TT-BCT and take responsibility for the accuracy and truthfulness of the license application dossier.</w:t>
      </w:r>
    </w:p>
    <w:p w14:paraId="127AF3CA" w14:textId="77777777" w:rsidR="006931A3" w:rsidRPr="00A73587" w:rsidRDefault="006931A3" w:rsidP="00A73587">
      <w:pPr>
        <w:pStyle w:val="ListParagraph"/>
        <w:spacing w:after="0" w:line="240" w:lineRule="auto"/>
        <w:jc w:val="both"/>
        <w:rPr>
          <w:rFonts w:ascii="Cambria" w:hAnsi="Cambria"/>
          <w:color w:val="000000" w:themeColor="text1"/>
        </w:rPr>
      </w:pPr>
    </w:p>
    <w:p w14:paraId="66F6DF94" w14:textId="11E7433C" w:rsidR="006931A3" w:rsidRPr="00A73587" w:rsidRDefault="006931A3" w:rsidP="00A73587">
      <w:pPr>
        <w:pStyle w:val="ListParagraph"/>
        <w:numPr>
          <w:ilvl w:val="0"/>
          <w:numId w:val="17"/>
        </w:numPr>
        <w:spacing w:after="0" w:line="240" w:lineRule="auto"/>
        <w:ind w:hanging="720"/>
        <w:jc w:val="both"/>
        <w:rPr>
          <w:rFonts w:ascii="Cambria" w:hAnsi="Cambria"/>
          <w:color w:val="000000" w:themeColor="text1"/>
        </w:rPr>
      </w:pPr>
      <w:r w:rsidRPr="00A73587">
        <w:rPr>
          <w:rFonts w:ascii="Cambria" w:hAnsi="Cambria"/>
          <w:color w:val="000000" w:themeColor="text1"/>
        </w:rPr>
        <w:t>The form of application submission is prescribed as follows:</w:t>
      </w:r>
    </w:p>
    <w:p w14:paraId="27EC1399" w14:textId="77777777" w:rsidR="006931A3" w:rsidRPr="00A73587" w:rsidRDefault="006931A3" w:rsidP="00A73587">
      <w:pPr>
        <w:spacing w:after="0" w:line="240" w:lineRule="auto"/>
        <w:ind w:hanging="720"/>
        <w:jc w:val="both"/>
        <w:rPr>
          <w:rFonts w:ascii="Cambria" w:hAnsi="Cambria"/>
          <w:color w:val="000000" w:themeColor="text1"/>
        </w:rPr>
      </w:pPr>
    </w:p>
    <w:p w14:paraId="5DB02F0D" w14:textId="0AA99895" w:rsidR="006931A3" w:rsidRPr="00A73587" w:rsidRDefault="006931A3" w:rsidP="00A73587">
      <w:pPr>
        <w:pStyle w:val="ListParagraph"/>
        <w:numPr>
          <w:ilvl w:val="0"/>
          <w:numId w:val="18"/>
        </w:numPr>
        <w:spacing w:after="0" w:line="240" w:lineRule="auto"/>
        <w:ind w:left="1418" w:hanging="709"/>
        <w:jc w:val="both"/>
        <w:rPr>
          <w:rFonts w:ascii="Cambria" w:hAnsi="Cambria"/>
          <w:color w:val="000000" w:themeColor="text1"/>
        </w:rPr>
      </w:pPr>
      <w:r w:rsidRPr="00A73587">
        <w:rPr>
          <w:rFonts w:ascii="Cambria" w:hAnsi="Cambria"/>
          <w:color w:val="000000" w:themeColor="text1"/>
        </w:rPr>
        <w:t xml:space="preserve">For dossiers under the licensing authority of the Ministry of Industry and Trade and the Electricity Regulatory Authority: Apply on the online Public Service Portal at </w:t>
      </w:r>
      <w:hyperlink r:id="rId7" w:history="1">
        <w:r w:rsidRPr="00A73587">
          <w:rPr>
            <w:rStyle w:val="Hyperlink"/>
            <w:rFonts w:ascii="Cambria" w:hAnsi="Cambria"/>
          </w:rPr>
          <w:t>https://dichvucong.moit.gov.vn</w:t>
        </w:r>
      </w:hyperlink>
      <w:r w:rsidRPr="00A73587">
        <w:rPr>
          <w:rFonts w:ascii="Cambria" w:hAnsi="Cambria"/>
          <w:color w:val="000000" w:themeColor="text1"/>
        </w:rPr>
        <w:t>.</w:t>
      </w:r>
    </w:p>
    <w:p w14:paraId="354C38FA" w14:textId="77777777" w:rsidR="006931A3" w:rsidRPr="00A73587" w:rsidRDefault="006931A3" w:rsidP="00A73587">
      <w:pPr>
        <w:pStyle w:val="ListParagraph"/>
        <w:spacing w:after="0" w:line="240" w:lineRule="auto"/>
        <w:ind w:left="1418"/>
        <w:jc w:val="both"/>
        <w:rPr>
          <w:rFonts w:ascii="Cambria" w:hAnsi="Cambria"/>
          <w:color w:val="000000" w:themeColor="text1"/>
        </w:rPr>
      </w:pPr>
    </w:p>
    <w:p w14:paraId="139920F6" w14:textId="2CCC5100" w:rsidR="006931A3" w:rsidRPr="00A73587" w:rsidRDefault="006931A3" w:rsidP="00A73587">
      <w:pPr>
        <w:pStyle w:val="ListParagraph"/>
        <w:spacing w:after="0" w:line="240" w:lineRule="auto"/>
        <w:ind w:left="1418"/>
        <w:jc w:val="both"/>
        <w:rPr>
          <w:rFonts w:ascii="Cambria" w:hAnsi="Cambria"/>
          <w:color w:val="000000" w:themeColor="text1"/>
        </w:rPr>
      </w:pPr>
      <w:r w:rsidRPr="00A73587">
        <w:rPr>
          <w:rFonts w:ascii="Cambria" w:hAnsi="Cambria"/>
          <w:color w:val="000000" w:themeColor="text1"/>
        </w:rPr>
        <w:t>In case the electronic file is large in size or the documents as prescribed by law cannot be sent through the electronic information network, it can be sent directly or via postal service.</w:t>
      </w:r>
    </w:p>
    <w:p w14:paraId="74924884" w14:textId="77777777" w:rsidR="006931A3" w:rsidRPr="00A73587" w:rsidRDefault="006931A3" w:rsidP="00A73587">
      <w:pPr>
        <w:spacing w:after="0" w:line="240" w:lineRule="auto"/>
        <w:jc w:val="both"/>
        <w:rPr>
          <w:rFonts w:ascii="Cambria" w:hAnsi="Cambria"/>
          <w:color w:val="000000" w:themeColor="text1"/>
        </w:rPr>
      </w:pPr>
    </w:p>
    <w:p w14:paraId="2AF4F746" w14:textId="5B8B60E9" w:rsidR="006931A3" w:rsidRPr="00A73587" w:rsidRDefault="006931A3" w:rsidP="00A73587">
      <w:pPr>
        <w:pStyle w:val="ListParagraph"/>
        <w:numPr>
          <w:ilvl w:val="0"/>
          <w:numId w:val="18"/>
        </w:numPr>
        <w:spacing w:after="0" w:line="240" w:lineRule="auto"/>
        <w:ind w:left="1418" w:hanging="709"/>
        <w:jc w:val="both"/>
        <w:rPr>
          <w:rFonts w:ascii="Cambria" w:hAnsi="Cambria"/>
          <w:color w:val="000000" w:themeColor="text1"/>
        </w:rPr>
      </w:pPr>
      <w:r w:rsidRPr="00A73587">
        <w:rPr>
          <w:rFonts w:ascii="Cambria" w:hAnsi="Cambria"/>
          <w:color w:val="000000" w:themeColor="text1"/>
        </w:rPr>
        <w:t>For dossiers falling under the licensing authority of the People's Committees of provinces and centrally-run cities: Send them in person, by postal service, or online on the website of the licensing authority for electricity activities (if any).</w:t>
      </w:r>
    </w:p>
    <w:p w14:paraId="12BF1412" w14:textId="77777777" w:rsidR="006931A3" w:rsidRPr="00A73587" w:rsidRDefault="006931A3" w:rsidP="00A73587">
      <w:pPr>
        <w:spacing w:after="0" w:line="240" w:lineRule="auto"/>
        <w:jc w:val="both"/>
        <w:rPr>
          <w:rFonts w:ascii="Cambria" w:hAnsi="Cambria"/>
          <w:color w:val="000000" w:themeColor="text1"/>
        </w:rPr>
      </w:pPr>
    </w:p>
    <w:p w14:paraId="4771AFA2" w14:textId="77777777" w:rsidR="006931A3" w:rsidRPr="00A73587" w:rsidRDefault="006931A3" w:rsidP="00A73587">
      <w:pPr>
        <w:spacing w:after="0" w:line="240" w:lineRule="auto"/>
        <w:ind w:left="709"/>
        <w:jc w:val="both"/>
        <w:rPr>
          <w:rFonts w:ascii="Cambria" w:hAnsi="Cambria"/>
          <w:color w:val="000000" w:themeColor="text1"/>
        </w:rPr>
      </w:pPr>
      <w:r w:rsidRPr="00A73587">
        <w:rPr>
          <w:rFonts w:ascii="Cambria" w:hAnsi="Cambria"/>
          <w:b/>
          <w:bCs/>
          <w:color w:val="000000" w:themeColor="text1"/>
        </w:rPr>
        <w:t>Note:</w:t>
      </w:r>
      <w:r w:rsidRPr="00A73587">
        <w:rPr>
          <w:rFonts w:ascii="Cambria" w:hAnsi="Cambria"/>
          <w:color w:val="000000" w:themeColor="text1"/>
        </w:rPr>
        <w:t xml:space="preserve"> Organizations participating in power generation activities must submit a complete application for an electricity activity license, no later than 15 working days before the expected date of official commercial operation.</w:t>
      </w:r>
    </w:p>
    <w:p w14:paraId="6F6BC36C" w14:textId="77777777" w:rsidR="006931A3" w:rsidRPr="00A73587" w:rsidRDefault="006931A3" w:rsidP="00A73587">
      <w:pPr>
        <w:spacing w:after="0" w:line="240" w:lineRule="auto"/>
        <w:jc w:val="both"/>
        <w:rPr>
          <w:rFonts w:ascii="Cambria" w:hAnsi="Cambria"/>
          <w:color w:val="000000" w:themeColor="text1"/>
        </w:rPr>
      </w:pPr>
    </w:p>
    <w:p w14:paraId="143503D1" w14:textId="519791E5" w:rsidR="006931A3" w:rsidRPr="00A73587" w:rsidRDefault="006931A3" w:rsidP="00A73587">
      <w:pPr>
        <w:spacing w:after="0" w:line="240" w:lineRule="auto"/>
        <w:jc w:val="both"/>
        <w:rPr>
          <w:rFonts w:ascii="Cambria" w:hAnsi="Cambria"/>
          <w:color w:val="000000" w:themeColor="text1"/>
        </w:rPr>
      </w:pPr>
      <w:r w:rsidRPr="00A73587">
        <w:rPr>
          <w:rFonts w:ascii="Cambria" w:hAnsi="Cambria"/>
          <w:color w:val="000000" w:themeColor="text1"/>
        </w:rPr>
        <w:t>Enterprises need to update the procedures for granting electricity activity licenses as prescribed in Article 11 of Circular 21/2020/TT-BCT, including the following steps:</w:t>
      </w:r>
    </w:p>
    <w:p w14:paraId="50E02CE3" w14:textId="77777777" w:rsidR="006931A3" w:rsidRPr="00A73587" w:rsidRDefault="006931A3" w:rsidP="00A73587">
      <w:pPr>
        <w:spacing w:after="0" w:line="240" w:lineRule="auto"/>
        <w:jc w:val="both"/>
        <w:rPr>
          <w:rFonts w:ascii="Cambria" w:hAnsi="Cambria"/>
          <w:color w:val="000000" w:themeColor="text1"/>
        </w:rPr>
      </w:pPr>
    </w:p>
    <w:p w14:paraId="4326D0A3" w14:textId="0F82BE98" w:rsidR="006931A3" w:rsidRPr="00A73587" w:rsidRDefault="006931A3" w:rsidP="00A73587">
      <w:pPr>
        <w:pStyle w:val="ListParagraph"/>
        <w:numPr>
          <w:ilvl w:val="0"/>
          <w:numId w:val="17"/>
        </w:numPr>
        <w:spacing w:after="0" w:line="240" w:lineRule="auto"/>
        <w:ind w:hanging="720"/>
        <w:jc w:val="both"/>
        <w:rPr>
          <w:rFonts w:ascii="Cambria" w:hAnsi="Cambria"/>
          <w:color w:val="000000" w:themeColor="text1"/>
        </w:rPr>
      </w:pPr>
      <w:r w:rsidRPr="00A73587">
        <w:rPr>
          <w:rFonts w:ascii="Cambria" w:hAnsi="Cambria"/>
          <w:color w:val="000000" w:themeColor="text1"/>
        </w:rPr>
        <w:t>In the case of online granting of electricity activity licenses, the following steps shall be followed:</w:t>
      </w:r>
    </w:p>
    <w:p w14:paraId="431EE4B1" w14:textId="77777777" w:rsidR="006931A3" w:rsidRPr="00A73587" w:rsidRDefault="006931A3" w:rsidP="00A73587">
      <w:pPr>
        <w:spacing w:after="0" w:line="240" w:lineRule="auto"/>
        <w:jc w:val="both"/>
        <w:rPr>
          <w:rFonts w:ascii="Cambria" w:hAnsi="Cambria"/>
          <w:color w:val="000000" w:themeColor="text1"/>
        </w:rPr>
      </w:pPr>
    </w:p>
    <w:p w14:paraId="13382E39" w14:textId="12AEF1D4" w:rsidR="006931A3" w:rsidRPr="00A73587" w:rsidRDefault="006931A3" w:rsidP="00A73587">
      <w:pPr>
        <w:pStyle w:val="ListParagraph"/>
        <w:numPr>
          <w:ilvl w:val="0"/>
          <w:numId w:val="19"/>
        </w:numPr>
        <w:spacing w:after="0" w:line="240" w:lineRule="auto"/>
        <w:ind w:left="1418" w:hanging="709"/>
        <w:jc w:val="both"/>
        <w:rPr>
          <w:rFonts w:ascii="Cambria" w:hAnsi="Cambria"/>
          <w:color w:val="000000" w:themeColor="text1"/>
        </w:rPr>
      </w:pPr>
      <w:r w:rsidRPr="00A73587">
        <w:rPr>
          <w:rFonts w:ascii="Cambria" w:hAnsi="Cambria"/>
          <w:color w:val="000000" w:themeColor="text1"/>
        </w:rPr>
        <w:t>Step 1: The organization or individual applying for a license registers an account on the Online Public Service Portal of the Ministry of Industry and Trade, using the registered account to declare and submit an online application;</w:t>
      </w:r>
    </w:p>
    <w:p w14:paraId="6D5204F7" w14:textId="77777777" w:rsidR="006931A3" w:rsidRPr="00A73587" w:rsidRDefault="006931A3" w:rsidP="00A73587">
      <w:pPr>
        <w:spacing w:after="0" w:line="240" w:lineRule="auto"/>
        <w:ind w:left="1418" w:hanging="709"/>
        <w:jc w:val="both"/>
        <w:rPr>
          <w:rFonts w:ascii="Cambria" w:hAnsi="Cambria"/>
          <w:color w:val="000000" w:themeColor="text1"/>
        </w:rPr>
      </w:pPr>
    </w:p>
    <w:p w14:paraId="3132225C" w14:textId="77777777" w:rsidR="003B7D68" w:rsidRPr="00A73587" w:rsidRDefault="006931A3" w:rsidP="00A73587">
      <w:pPr>
        <w:pStyle w:val="ListParagraph"/>
        <w:numPr>
          <w:ilvl w:val="0"/>
          <w:numId w:val="19"/>
        </w:numPr>
        <w:spacing w:after="0" w:line="240" w:lineRule="auto"/>
        <w:ind w:left="1418" w:hanging="709"/>
        <w:jc w:val="both"/>
        <w:rPr>
          <w:rFonts w:ascii="Cambria" w:hAnsi="Cambria"/>
          <w:color w:val="000000" w:themeColor="text1"/>
        </w:rPr>
      </w:pPr>
      <w:r w:rsidRPr="00A73587">
        <w:rPr>
          <w:rFonts w:ascii="Cambria" w:hAnsi="Cambria"/>
          <w:color w:val="000000" w:themeColor="text1"/>
        </w:rPr>
        <w:t>Step 2: Within 60 working days from the date of receiving the request for supplementation or modification of data, documents, and related information from the electricity activity licensing agency, organization, or individual license applicants must supplement, amend data, documents, and related information on the online Public Service Portal of the Ministry of Industry and Trade.</w:t>
      </w:r>
    </w:p>
    <w:p w14:paraId="6B5CE7FB" w14:textId="77777777" w:rsidR="003B7D68" w:rsidRPr="00A73587" w:rsidRDefault="003B7D68" w:rsidP="00A73587">
      <w:pPr>
        <w:pStyle w:val="ListParagraph"/>
        <w:spacing w:after="0" w:line="240" w:lineRule="auto"/>
        <w:rPr>
          <w:rFonts w:ascii="Cambria" w:hAnsi="Cambria"/>
          <w:color w:val="000000" w:themeColor="text1"/>
        </w:rPr>
      </w:pPr>
    </w:p>
    <w:p w14:paraId="5914A5C1" w14:textId="6D2EA30D" w:rsidR="006931A3" w:rsidRPr="00A73587" w:rsidRDefault="006931A3" w:rsidP="00A73587">
      <w:pPr>
        <w:pStyle w:val="ListParagraph"/>
        <w:spacing w:after="0" w:line="240" w:lineRule="auto"/>
        <w:ind w:left="1418"/>
        <w:jc w:val="both"/>
        <w:rPr>
          <w:rFonts w:ascii="Cambria" w:hAnsi="Cambria"/>
          <w:color w:val="000000" w:themeColor="text1"/>
        </w:rPr>
      </w:pPr>
      <w:r w:rsidRPr="00A73587">
        <w:rPr>
          <w:rFonts w:ascii="Cambria" w:hAnsi="Cambria"/>
          <w:color w:val="000000" w:themeColor="text1"/>
        </w:rPr>
        <w:t>Upon the expiry of the above time limit, if the organization or individual fails to amend or supplement the dossier as required, the licensing authority for electricity activities may return the dossier of application for an electricity activity license;</w:t>
      </w:r>
    </w:p>
    <w:p w14:paraId="0827B861" w14:textId="77777777" w:rsidR="006931A3" w:rsidRPr="00A73587" w:rsidRDefault="006931A3" w:rsidP="00A73587">
      <w:pPr>
        <w:spacing w:after="0" w:line="240" w:lineRule="auto"/>
        <w:jc w:val="both"/>
        <w:rPr>
          <w:rFonts w:ascii="Cambria" w:hAnsi="Cambria"/>
          <w:color w:val="000000" w:themeColor="text1"/>
        </w:rPr>
      </w:pPr>
    </w:p>
    <w:p w14:paraId="76D91DDA" w14:textId="489A633C" w:rsidR="006931A3" w:rsidRPr="00A73587" w:rsidRDefault="006931A3" w:rsidP="00A73587">
      <w:pPr>
        <w:pStyle w:val="ListParagraph"/>
        <w:numPr>
          <w:ilvl w:val="0"/>
          <w:numId w:val="19"/>
        </w:numPr>
        <w:spacing w:after="0" w:line="240" w:lineRule="auto"/>
        <w:ind w:left="1418" w:hanging="709"/>
        <w:jc w:val="both"/>
        <w:rPr>
          <w:rFonts w:ascii="Cambria" w:hAnsi="Cambria"/>
          <w:color w:val="000000" w:themeColor="text1"/>
        </w:rPr>
      </w:pPr>
      <w:r w:rsidRPr="00A73587">
        <w:rPr>
          <w:rFonts w:ascii="Cambria" w:hAnsi="Cambria"/>
          <w:color w:val="000000" w:themeColor="text1"/>
        </w:rPr>
        <w:t>Step 3: Within 15 working days from the date of receipt of complete and valid dossiers on the Online Public Service Portal of the Ministry of Industry and Trade, the licensing authority for electricity activities is responsible for appraising the dossier and granting electricity activity license;</w:t>
      </w:r>
    </w:p>
    <w:p w14:paraId="025B3261" w14:textId="77777777" w:rsidR="006931A3" w:rsidRPr="00A73587" w:rsidRDefault="006931A3" w:rsidP="00A73587">
      <w:pPr>
        <w:spacing w:after="0" w:line="240" w:lineRule="auto"/>
        <w:jc w:val="both"/>
        <w:rPr>
          <w:rFonts w:ascii="Cambria" w:hAnsi="Cambria"/>
          <w:color w:val="000000" w:themeColor="text1"/>
        </w:rPr>
      </w:pPr>
    </w:p>
    <w:p w14:paraId="7FA86237" w14:textId="39E46DA6" w:rsidR="006931A3" w:rsidRPr="00A73587" w:rsidRDefault="006931A3" w:rsidP="00A73587">
      <w:pPr>
        <w:pStyle w:val="ListParagraph"/>
        <w:numPr>
          <w:ilvl w:val="0"/>
          <w:numId w:val="17"/>
        </w:numPr>
        <w:spacing w:after="0" w:line="240" w:lineRule="auto"/>
        <w:ind w:hanging="720"/>
        <w:jc w:val="both"/>
        <w:rPr>
          <w:rFonts w:ascii="Cambria" w:hAnsi="Cambria"/>
          <w:color w:val="000000" w:themeColor="text1"/>
        </w:rPr>
      </w:pPr>
      <w:r w:rsidRPr="00A73587">
        <w:rPr>
          <w:rFonts w:ascii="Cambria" w:hAnsi="Cambria"/>
          <w:color w:val="000000" w:themeColor="text1"/>
        </w:rPr>
        <w:t>In case of granting electricity activity licenses not online, the following steps shall be followed:</w:t>
      </w:r>
    </w:p>
    <w:p w14:paraId="79CCD3E9" w14:textId="77777777" w:rsidR="006931A3" w:rsidRPr="00A73587" w:rsidRDefault="006931A3" w:rsidP="00A73587">
      <w:pPr>
        <w:spacing w:after="0" w:line="240" w:lineRule="auto"/>
        <w:jc w:val="both"/>
        <w:rPr>
          <w:rFonts w:ascii="Cambria" w:hAnsi="Cambria"/>
          <w:color w:val="000000" w:themeColor="text1"/>
        </w:rPr>
      </w:pPr>
    </w:p>
    <w:p w14:paraId="45F403F3" w14:textId="0846B230" w:rsidR="003B7D68" w:rsidRPr="00A73587" w:rsidRDefault="006931A3" w:rsidP="00A73587">
      <w:pPr>
        <w:pStyle w:val="ListParagraph"/>
        <w:numPr>
          <w:ilvl w:val="0"/>
          <w:numId w:val="19"/>
        </w:numPr>
        <w:spacing w:after="0" w:line="240" w:lineRule="auto"/>
        <w:ind w:left="1418" w:hanging="709"/>
        <w:jc w:val="both"/>
        <w:rPr>
          <w:rFonts w:ascii="Cambria" w:hAnsi="Cambria"/>
          <w:color w:val="000000" w:themeColor="text1"/>
        </w:rPr>
      </w:pPr>
      <w:r w:rsidRPr="00A73587">
        <w:rPr>
          <w:rFonts w:ascii="Cambria" w:hAnsi="Cambria"/>
          <w:color w:val="000000" w:themeColor="text1"/>
        </w:rPr>
        <w:t>Step 1: Within 03 working days from the date of receipt of the application for an electricity activity license, the licensing authority for electricity activities shall notify in writing the organization or individual applying for a license if the application is incomplete or invalid. In the written notice, the reason must be clearly stated and the requirements for supplementing and amending data, documents, and related information to complete the dossier;</w:t>
      </w:r>
    </w:p>
    <w:p w14:paraId="1AAE8D27" w14:textId="77777777" w:rsidR="003B7D68" w:rsidRPr="00A73587" w:rsidRDefault="003B7D68" w:rsidP="00A73587">
      <w:pPr>
        <w:pStyle w:val="ListParagraph"/>
        <w:spacing w:after="0" w:line="240" w:lineRule="auto"/>
        <w:ind w:left="1418"/>
        <w:jc w:val="both"/>
        <w:rPr>
          <w:rFonts w:ascii="Cambria" w:hAnsi="Cambria"/>
          <w:color w:val="000000" w:themeColor="text1"/>
        </w:rPr>
      </w:pPr>
    </w:p>
    <w:p w14:paraId="4A2FC468" w14:textId="77777777" w:rsidR="003B7D68" w:rsidRPr="00A73587" w:rsidRDefault="006931A3" w:rsidP="00A73587">
      <w:pPr>
        <w:pStyle w:val="ListParagraph"/>
        <w:numPr>
          <w:ilvl w:val="0"/>
          <w:numId w:val="19"/>
        </w:numPr>
        <w:spacing w:after="0" w:line="240" w:lineRule="auto"/>
        <w:ind w:left="1418" w:hanging="709"/>
        <w:jc w:val="both"/>
        <w:rPr>
          <w:rFonts w:ascii="Cambria" w:hAnsi="Cambria"/>
          <w:color w:val="000000" w:themeColor="text1"/>
        </w:rPr>
      </w:pPr>
      <w:r w:rsidRPr="00A73587">
        <w:rPr>
          <w:rFonts w:ascii="Cambria" w:hAnsi="Cambria"/>
          <w:color w:val="000000" w:themeColor="text1"/>
        </w:rPr>
        <w:t>Step 2: Within 60 working days from the date of receipt of the request for supplementation or modification of data, documents, and related information from the licensing authority for electricity activities, or individual the license application must supplement, amend the data, documents, and related information and reply in writing.</w:t>
      </w:r>
    </w:p>
    <w:p w14:paraId="258EA280" w14:textId="77777777" w:rsidR="003B7D68" w:rsidRPr="00A73587" w:rsidRDefault="003B7D68" w:rsidP="00A73587">
      <w:pPr>
        <w:pStyle w:val="ListParagraph"/>
        <w:spacing w:after="0" w:line="240" w:lineRule="auto"/>
        <w:rPr>
          <w:rFonts w:ascii="Cambria" w:hAnsi="Cambria"/>
          <w:color w:val="000000" w:themeColor="text1"/>
        </w:rPr>
      </w:pPr>
    </w:p>
    <w:p w14:paraId="4BBF24B4" w14:textId="56C12185" w:rsidR="006931A3" w:rsidRPr="00A73587" w:rsidRDefault="006931A3" w:rsidP="00A73587">
      <w:pPr>
        <w:pStyle w:val="ListParagraph"/>
        <w:spacing w:after="0" w:line="240" w:lineRule="auto"/>
        <w:ind w:left="1418"/>
        <w:jc w:val="both"/>
        <w:rPr>
          <w:rFonts w:ascii="Cambria" w:hAnsi="Cambria"/>
          <w:color w:val="000000" w:themeColor="text1"/>
        </w:rPr>
      </w:pPr>
      <w:r w:rsidRPr="00A73587">
        <w:rPr>
          <w:rFonts w:ascii="Cambria" w:hAnsi="Cambria"/>
          <w:color w:val="000000" w:themeColor="text1"/>
        </w:rPr>
        <w:t>Upon the expiry of the above time limit, if the organization or individual fails to amend or supplement the dossier as required, the licensing authority for electricity activities may return the dossier of application for an electricity activity license;</w:t>
      </w:r>
    </w:p>
    <w:p w14:paraId="7EEFE2BB" w14:textId="77777777" w:rsidR="006931A3" w:rsidRPr="00A73587" w:rsidRDefault="006931A3" w:rsidP="00A73587">
      <w:pPr>
        <w:spacing w:after="0" w:line="240" w:lineRule="auto"/>
        <w:jc w:val="both"/>
        <w:rPr>
          <w:rFonts w:ascii="Cambria" w:hAnsi="Cambria"/>
          <w:color w:val="000000" w:themeColor="text1"/>
        </w:rPr>
      </w:pPr>
    </w:p>
    <w:p w14:paraId="53DA1BDD" w14:textId="2296368E" w:rsidR="006931A3" w:rsidRPr="00A73587" w:rsidRDefault="006931A3" w:rsidP="00A73587">
      <w:pPr>
        <w:pStyle w:val="ListParagraph"/>
        <w:numPr>
          <w:ilvl w:val="0"/>
          <w:numId w:val="22"/>
        </w:numPr>
        <w:spacing w:after="0" w:line="240" w:lineRule="auto"/>
        <w:ind w:left="1418" w:hanging="709"/>
        <w:jc w:val="both"/>
        <w:rPr>
          <w:rFonts w:ascii="Cambria" w:hAnsi="Cambria"/>
          <w:color w:val="000000" w:themeColor="text1"/>
        </w:rPr>
      </w:pPr>
      <w:r w:rsidRPr="00A73587">
        <w:rPr>
          <w:rFonts w:ascii="Cambria" w:hAnsi="Cambria"/>
          <w:color w:val="000000" w:themeColor="text1"/>
        </w:rPr>
        <w:t>Step 3: Within 15 working days from the date of receipt of complete and valid dossiers, the licensing authority for electricity activities is responsible for appraising the dossier and granting the electricity activity license;</w:t>
      </w:r>
    </w:p>
    <w:p w14:paraId="716BD7E8" w14:textId="77777777" w:rsidR="006931A3" w:rsidRPr="00A73587" w:rsidRDefault="006931A3" w:rsidP="00A73587">
      <w:pPr>
        <w:spacing w:after="0" w:line="240" w:lineRule="auto"/>
        <w:ind w:left="1418" w:hanging="709"/>
        <w:jc w:val="both"/>
        <w:rPr>
          <w:rFonts w:ascii="Cambria" w:hAnsi="Cambria"/>
          <w:color w:val="000000" w:themeColor="text1"/>
        </w:rPr>
      </w:pPr>
    </w:p>
    <w:p w14:paraId="5146CB54" w14:textId="5ED5CEAA" w:rsidR="006931A3" w:rsidRPr="00A73587" w:rsidRDefault="006931A3" w:rsidP="00A73587">
      <w:pPr>
        <w:pStyle w:val="ListParagraph"/>
        <w:numPr>
          <w:ilvl w:val="0"/>
          <w:numId w:val="22"/>
        </w:numPr>
        <w:spacing w:after="0" w:line="240" w:lineRule="auto"/>
        <w:ind w:left="1418" w:hanging="709"/>
        <w:jc w:val="both"/>
        <w:rPr>
          <w:rFonts w:ascii="Cambria" w:hAnsi="Cambria"/>
          <w:color w:val="000000" w:themeColor="text1"/>
        </w:rPr>
      </w:pPr>
      <w:r w:rsidRPr="00A73587">
        <w:rPr>
          <w:rFonts w:ascii="Cambria" w:hAnsi="Cambria"/>
          <w:color w:val="000000" w:themeColor="text1"/>
        </w:rPr>
        <w:t>Step 4: In case of amendment or supplementation of the electricity activity license, within 07 working days from the date of receipt of a complete and valid dossier, the licensing authority for electricity activities is responsible for appraising the application and issuance of electricity activity licenses.</w:t>
      </w:r>
    </w:p>
    <w:p w14:paraId="23F32CA9" w14:textId="77777777" w:rsidR="006931A3" w:rsidRPr="00A73587" w:rsidRDefault="006931A3" w:rsidP="00A73587">
      <w:pPr>
        <w:spacing w:after="0" w:line="240" w:lineRule="auto"/>
        <w:jc w:val="both"/>
        <w:rPr>
          <w:rFonts w:ascii="Cambria" w:hAnsi="Cambria"/>
          <w:color w:val="000000" w:themeColor="text1"/>
        </w:rPr>
      </w:pPr>
    </w:p>
    <w:p w14:paraId="3ADFA12E" w14:textId="3077A967" w:rsidR="00325651" w:rsidRPr="00A73587" w:rsidRDefault="006931A3" w:rsidP="00A73587">
      <w:pPr>
        <w:pStyle w:val="ListParagraph"/>
        <w:numPr>
          <w:ilvl w:val="0"/>
          <w:numId w:val="17"/>
        </w:numPr>
        <w:spacing w:after="0" w:line="240" w:lineRule="auto"/>
        <w:ind w:hanging="720"/>
        <w:jc w:val="both"/>
        <w:rPr>
          <w:rFonts w:ascii="Cambria" w:hAnsi="Cambria"/>
          <w:color w:val="000000" w:themeColor="text1"/>
        </w:rPr>
      </w:pPr>
      <w:r w:rsidRPr="00A73587">
        <w:rPr>
          <w:rFonts w:ascii="Cambria" w:hAnsi="Cambria"/>
          <w:color w:val="000000" w:themeColor="text1"/>
        </w:rPr>
        <w:t>The issued electricity activity license consists of 03 originals: 01 is handed over to the licensee, 02 copies are kept at the licensing authority for electricity activities.</w:t>
      </w:r>
    </w:p>
    <w:p w14:paraId="0AB62218" w14:textId="77777777" w:rsidR="003B7D68" w:rsidRPr="00A73587" w:rsidRDefault="003B7D68" w:rsidP="00A73587">
      <w:pPr>
        <w:pStyle w:val="ListParagraph"/>
        <w:spacing w:after="0" w:line="240" w:lineRule="auto"/>
        <w:jc w:val="right"/>
        <w:rPr>
          <w:rFonts w:ascii="Cambria" w:hAnsi="Cambria"/>
          <w:b/>
          <w:bCs/>
          <w:i/>
          <w:iCs/>
          <w:color w:val="000000" w:themeColor="text1"/>
          <w:u w:val="single"/>
        </w:rPr>
      </w:pPr>
    </w:p>
    <w:p w14:paraId="79AAA197" w14:textId="7C536D20" w:rsidR="003B7D68" w:rsidRPr="00A73587" w:rsidRDefault="003B7D68" w:rsidP="00A73587">
      <w:pPr>
        <w:pStyle w:val="ListParagraph"/>
        <w:spacing w:after="0" w:line="240" w:lineRule="auto"/>
        <w:jc w:val="right"/>
        <w:rPr>
          <w:rFonts w:ascii="Cambria" w:hAnsi="Cambria"/>
          <w:b/>
          <w:bCs/>
          <w:i/>
          <w:iCs/>
          <w:color w:val="000000" w:themeColor="text1"/>
          <w:u w:val="single"/>
        </w:rPr>
      </w:pPr>
      <w:r w:rsidRPr="00A73587">
        <w:rPr>
          <w:rFonts w:ascii="Cambria" w:hAnsi="Cambria"/>
          <w:b/>
          <w:bCs/>
          <w:i/>
          <w:iCs/>
          <w:color w:val="000000" w:themeColor="text1"/>
          <w:u w:val="single"/>
        </w:rPr>
        <w:t>ADK Vietnam Lawyers.</w:t>
      </w:r>
    </w:p>
    <w:sectPr w:rsidR="003B7D68" w:rsidRPr="00A73587" w:rsidSect="002F3483">
      <w:headerReference w:type="default" r:id="rId8"/>
      <w:footerReference w:type="default" r:id="rId9"/>
      <w:pgSz w:w="12240" w:h="15840"/>
      <w:pgMar w:top="1134" w:right="1134" w:bottom="1134"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F2445" w14:textId="77777777" w:rsidR="00C01693" w:rsidRDefault="00C01693" w:rsidP="002F3483">
      <w:pPr>
        <w:spacing w:after="0" w:line="240" w:lineRule="auto"/>
      </w:pPr>
      <w:r>
        <w:separator/>
      </w:r>
    </w:p>
  </w:endnote>
  <w:endnote w:type="continuationSeparator" w:id="0">
    <w:p w14:paraId="315562BA" w14:textId="77777777" w:rsidR="00C01693" w:rsidRDefault="00C01693" w:rsidP="002F3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3A93D" w14:textId="77777777" w:rsidR="002F3483" w:rsidRPr="004A033B" w:rsidRDefault="002F3483" w:rsidP="004A033B">
    <w:pPr>
      <w:pBdr>
        <w:top w:val="single" w:sz="4" w:space="0" w:color="808080"/>
        <w:left w:val="single" w:sz="4" w:space="4" w:color="808080"/>
        <w:bottom w:val="single" w:sz="4" w:space="0" w:color="808080"/>
        <w:right w:val="single" w:sz="4" w:space="1" w:color="808080"/>
      </w:pBdr>
      <w:tabs>
        <w:tab w:val="center" w:pos="4320"/>
        <w:tab w:val="left" w:pos="8730"/>
        <w:tab w:val="left" w:pos="13770"/>
      </w:tabs>
      <w:spacing w:after="0" w:line="240" w:lineRule="auto"/>
      <w:jc w:val="center"/>
      <w:rPr>
        <w:rFonts w:ascii="Cambria" w:hAnsi="Cambria"/>
        <w:b/>
        <w:sz w:val="20"/>
        <w:szCs w:val="20"/>
      </w:rPr>
    </w:pPr>
    <w:r w:rsidRPr="004A033B">
      <w:rPr>
        <w:rFonts w:ascii="Cambria" w:hAnsi="Cambria"/>
        <w:b/>
        <w:sz w:val="20"/>
        <w:szCs w:val="20"/>
        <w:lang w:val="en"/>
      </w:rPr>
      <w:t>ADK &amp; Co Vietnam Lawyers</w:t>
    </w:r>
  </w:p>
  <w:p w14:paraId="3C306C97" w14:textId="77777777" w:rsidR="002F3483" w:rsidRPr="004A033B" w:rsidRDefault="00C01693" w:rsidP="004A033B">
    <w:pPr>
      <w:pBdr>
        <w:top w:val="single" w:sz="4" w:space="0" w:color="808080"/>
        <w:left w:val="single" w:sz="4" w:space="4" w:color="808080"/>
        <w:bottom w:val="single" w:sz="4" w:space="0" w:color="808080"/>
        <w:right w:val="single" w:sz="4" w:space="1" w:color="808080"/>
      </w:pBdr>
      <w:tabs>
        <w:tab w:val="center" w:pos="5760"/>
        <w:tab w:val="left" w:pos="8730"/>
        <w:tab w:val="left" w:pos="13770"/>
      </w:tabs>
      <w:spacing w:after="0" w:line="240" w:lineRule="auto"/>
      <w:jc w:val="center"/>
      <w:rPr>
        <w:rFonts w:ascii="Cambria" w:hAnsi="Cambria"/>
        <w:sz w:val="20"/>
        <w:szCs w:val="20"/>
      </w:rPr>
    </w:pPr>
    <w:hyperlink r:id="rId1" w:history="1">
      <w:r w:rsidR="002F3483" w:rsidRPr="004A033B">
        <w:rPr>
          <w:rStyle w:val="Hyperlink"/>
          <w:rFonts w:ascii="Cambria" w:hAnsi="Cambria"/>
          <w:sz w:val="20"/>
          <w:szCs w:val="20"/>
          <w:lang w:val="en"/>
        </w:rPr>
        <w:t>www.adk-lawyers.com</w:t>
      </w:r>
    </w:hyperlink>
  </w:p>
  <w:p w14:paraId="18504528" w14:textId="77777777" w:rsidR="002F3483" w:rsidRDefault="002F3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9BF52" w14:textId="77777777" w:rsidR="00C01693" w:rsidRDefault="00C01693" w:rsidP="002F3483">
      <w:pPr>
        <w:spacing w:after="0" w:line="240" w:lineRule="auto"/>
      </w:pPr>
      <w:r>
        <w:separator/>
      </w:r>
    </w:p>
  </w:footnote>
  <w:footnote w:type="continuationSeparator" w:id="0">
    <w:p w14:paraId="6AF9CAA2" w14:textId="77777777" w:rsidR="00C01693" w:rsidRDefault="00C01693" w:rsidP="002F3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803F9" w14:textId="727FB50E" w:rsidR="002F3483" w:rsidRDefault="002F3483">
    <w:pPr>
      <w:pStyle w:val="Header"/>
    </w:pPr>
    <w:r>
      <w:rPr>
        <w:noProof/>
      </w:rPr>
      <w:drawing>
        <wp:anchor distT="0" distB="0" distL="114300" distR="114300" simplePos="0" relativeHeight="251659264" behindDoc="0" locked="0" layoutInCell="1" allowOverlap="1" wp14:anchorId="2851C622" wp14:editId="44665979">
          <wp:simplePos x="0" y="0"/>
          <wp:positionH relativeFrom="page">
            <wp:align>left</wp:align>
          </wp:positionH>
          <wp:positionV relativeFrom="paragraph">
            <wp:posOffset>0</wp:posOffset>
          </wp:positionV>
          <wp:extent cx="7761600" cy="1479600"/>
          <wp:effectExtent l="0" t="0" r="0" b="6350"/>
          <wp:wrapSquare wrapText="bothSides"/>
          <wp:docPr id="1" name="Picture 1"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1600" cy="147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1F71"/>
    <w:multiLevelType w:val="hybridMultilevel"/>
    <w:tmpl w:val="D6725B3E"/>
    <w:lvl w:ilvl="0" w:tplc="4126B6BE">
      <w:start w:val="1"/>
      <w:numFmt w:val="bullet"/>
      <w:lvlText w:val="-"/>
      <w:lvlJc w:val="left"/>
      <w:pPr>
        <w:ind w:left="720" w:hanging="360"/>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712F2"/>
    <w:multiLevelType w:val="hybridMultilevel"/>
    <w:tmpl w:val="97985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F7B7E"/>
    <w:multiLevelType w:val="hybridMultilevel"/>
    <w:tmpl w:val="D4568B38"/>
    <w:lvl w:ilvl="0" w:tplc="FD7E87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E74F9"/>
    <w:multiLevelType w:val="hybridMultilevel"/>
    <w:tmpl w:val="7924D6CA"/>
    <w:lvl w:ilvl="0" w:tplc="73C6D4E2">
      <w:start w:val="1"/>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B76E2"/>
    <w:multiLevelType w:val="hybridMultilevel"/>
    <w:tmpl w:val="38D6CD06"/>
    <w:lvl w:ilvl="0" w:tplc="4126B6BE">
      <w:start w:val="1"/>
      <w:numFmt w:val="bullet"/>
      <w:lvlText w:val="-"/>
      <w:lvlJc w:val="left"/>
      <w:pPr>
        <w:ind w:left="720" w:hanging="360"/>
      </w:pPr>
      <w:rPr>
        <w:rFonts w:ascii="Cambria" w:eastAsiaTheme="minorHAnsi" w:hAnsi="Cambria" w:cs="Arial" w:hint="default"/>
      </w:rPr>
    </w:lvl>
    <w:lvl w:ilvl="1" w:tplc="0FBCE2FE">
      <w:numFmt w:val="bullet"/>
      <w:lvlText w:val="•"/>
      <w:lvlJc w:val="left"/>
      <w:pPr>
        <w:ind w:left="1440" w:hanging="36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61A34"/>
    <w:multiLevelType w:val="hybridMultilevel"/>
    <w:tmpl w:val="EB800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F2B4A"/>
    <w:multiLevelType w:val="hybridMultilevel"/>
    <w:tmpl w:val="29B0B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7F2FDC"/>
    <w:multiLevelType w:val="hybridMultilevel"/>
    <w:tmpl w:val="AB403852"/>
    <w:lvl w:ilvl="0" w:tplc="FD7E87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95CD8"/>
    <w:multiLevelType w:val="hybridMultilevel"/>
    <w:tmpl w:val="1FF42120"/>
    <w:lvl w:ilvl="0" w:tplc="86F4D73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24D50"/>
    <w:multiLevelType w:val="hybridMultilevel"/>
    <w:tmpl w:val="779617D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35D152FE"/>
    <w:multiLevelType w:val="hybridMultilevel"/>
    <w:tmpl w:val="476C6B04"/>
    <w:lvl w:ilvl="0" w:tplc="F9D886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CE4327"/>
    <w:multiLevelType w:val="hybridMultilevel"/>
    <w:tmpl w:val="C8806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7152DD"/>
    <w:multiLevelType w:val="hybridMultilevel"/>
    <w:tmpl w:val="7396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284CE4"/>
    <w:multiLevelType w:val="hybridMultilevel"/>
    <w:tmpl w:val="4D4264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4C1784"/>
    <w:multiLevelType w:val="hybridMultilevel"/>
    <w:tmpl w:val="3CD876C0"/>
    <w:lvl w:ilvl="0" w:tplc="7F36DCAC">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4F330B"/>
    <w:multiLevelType w:val="hybridMultilevel"/>
    <w:tmpl w:val="B6A8F4E2"/>
    <w:lvl w:ilvl="0" w:tplc="73C6D4E2">
      <w:start w:val="1"/>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7F368F"/>
    <w:multiLevelType w:val="hybridMultilevel"/>
    <w:tmpl w:val="4F40B658"/>
    <w:lvl w:ilvl="0" w:tplc="ACF818AE">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862F47"/>
    <w:multiLevelType w:val="hybridMultilevel"/>
    <w:tmpl w:val="C046B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AE2317"/>
    <w:multiLevelType w:val="hybridMultilevel"/>
    <w:tmpl w:val="B346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E71BC2"/>
    <w:multiLevelType w:val="hybridMultilevel"/>
    <w:tmpl w:val="8B782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855EB9"/>
    <w:multiLevelType w:val="hybridMultilevel"/>
    <w:tmpl w:val="6956A7BE"/>
    <w:lvl w:ilvl="0" w:tplc="0409001B">
      <w:start w:val="1"/>
      <w:numFmt w:val="lowerRoman"/>
      <w:lvlText w:val="%1."/>
      <w:lvlJc w:val="righ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21" w15:restartNumberingAfterBreak="0">
    <w:nsid w:val="72085EAC"/>
    <w:multiLevelType w:val="hybridMultilevel"/>
    <w:tmpl w:val="5DBC72F8"/>
    <w:lvl w:ilvl="0" w:tplc="C3AAE3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9"/>
  </w:num>
  <w:num w:numId="3">
    <w:abstractNumId w:val="2"/>
  </w:num>
  <w:num w:numId="4">
    <w:abstractNumId w:val="7"/>
  </w:num>
  <w:num w:numId="5">
    <w:abstractNumId w:val="3"/>
  </w:num>
  <w:num w:numId="6">
    <w:abstractNumId w:val="9"/>
  </w:num>
  <w:num w:numId="7">
    <w:abstractNumId w:val="20"/>
  </w:num>
  <w:num w:numId="8">
    <w:abstractNumId w:val="21"/>
  </w:num>
  <w:num w:numId="9">
    <w:abstractNumId w:val="13"/>
  </w:num>
  <w:num w:numId="10">
    <w:abstractNumId w:val="15"/>
  </w:num>
  <w:num w:numId="11">
    <w:abstractNumId w:val="18"/>
  </w:num>
  <w:num w:numId="12">
    <w:abstractNumId w:val="6"/>
  </w:num>
  <w:num w:numId="13">
    <w:abstractNumId w:val="0"/>
  </w:num>
  <w:num w:numId="14">
    <w:abstractNumId w:val="12"/>
  </w:num>
  <w:num w:numId="15">
    <w:abstractNumId w:val="8"/>
  </w:num>
  <w:num w:numId="16">
    <w:abstractNumId w:val="10"/>
  </w:num>
  <w:num w:numId="17">
    <w:abstractNumId w:val="4"/>
  </w:num>
  <w:num w:numId="18">
    <w:abstractNumId w:val="1"/>
  </w:num>
  <w:num w:numId="19">
    <w:abstractNumId w:val="11"/>
  </w:num>
  <w:num w:numId="20">
    <w:abstractNumId w:val="16"/>
  </w:num>
  <w:num w:numId="21">
    <w:abstractNumId w:val="1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MrI0NjUxszCxNLVU0lEKTi0uzszPAykwrAUAtPG6mSwAAAA="/>
  </w:docVars>
  <w:rsids>
    <w:rsidRoot w:val="00AB7257"/>
    <w:rsid w:val="00044B42"/>
    <w:rsid w:val="00116622"/>
    <w:rsid w:val="00255F58"/>
    <w:rsid w:val="002F3483"/>
    <w:rsid w:val="00325651"/>
    <w:rsid w:val="003B7D68"/>
    <w:rsid w:val="004A033B"/>
    <w:rsid w:val="00516AE5"/>
    <w:rsid w:val="00671204"/>
    <w:rsid w:val="006931A3"/>
    <w:rsid w:val="00805EB6"/>
    <w:rsid w:val="009D2D7E"/>
    <w:rsid w:val="00A03A9F"/>
    <w:rsid w:val="00A422BE"/>
    <w:rsid w:val="00A73587"/>
    <w:rsid w:val="00AB7257"/>
    <w:rsid w:val="00B0375E"/>
    <w:rsid w:val="00C01693"/>
    <w:rsid w:val="00CC2CD0"/>
    <w:rsid w:val="00D30C8F"/>
    <w:rsid w:val="00D751C6"/>
    <w:rsid w:val="00E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B7698"/>
  <w15:chartTrackingRefBased/>
  <w15:docId w15:val="{7866AD80-4F45-4D5A-A3DA-8D70B6EF7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75E"/>
    <w:pPr>
      <w:ind w:left="720"/>
      <w:contextualSpacing/>
    </w:pPr>
  </w:style>
  <w:style w:type="paragraph" w:styleId="NormalWeb">
    <w:name w:val="Normal (Web)"/>
    <w:basedOn w:val="Normal"/>
    <w:uiPriority w:val="99"/>
    <w:unhideWhenUsed/>
    <w:rsid w:val="00516AE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F3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483"/>
  </w:style>
  <w:style w:type="paragraph" w:styleId="Footer">
    <w:name w:val="footer"/>
    <w:basedOn w:val="Normal"/>
    <w:link w:val="FooterChar"/>
    <w:uiPriority w:val="99"/>
    <w:unhideWhenUsed/>
    <w:rsid w:val="002F3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483"/>
  </w:style>
  <w:style w:type="character" w:styleId="Hyperlink">
    <w:name w:val="Hyperlink"/>
    <w:uiPriority w:val="99"/>
    <w:unhideWhenUsed/>
    <w:rsid w:val="002F3483"/>
    <w:rPr>
      <w:color w:val="0000FF"/>
      <w:u w:val="single"/>
    </w:rPr>
  </w:style>
  <w:style w:type="character" w:customStyle="1" w:styleId="UnresolvedMention1">
    <w:name w:val="Unresolved Mention1"/>
    <w:basedOn w:val="DefaultParagraphFont"/>
    <w:uiPriority w:val="99"/>
    <w:semiHidden/>
    <w:unhideWhenUsed/>
    <w:rsid w:val="00693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209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ichvucong.moit.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 LIEN</dc:creator>
  <cp:keywords/>
  <dc:description/>
  <cp:lastModifiedBy>Tran Nhat Nghi</cp:lastModifiedBy>
  <cp:revision>10</cp:revision>
  <dcterms:created xsi:type="dcterms:W3CDTF">2021-08-19T15:04:00Z</dcterms:created>
  <dcterms:modified xsi:type="dcterms:W3CDTF">2021-08-23T11:01:00Z</dcterms:modified>
</cp:coreProperties>
</file>