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8C501" w14:textId="77777777" w:rsidR="00BA3062" w:rsidRPr="0092080A" w:rsidRDefault="00BA3062" w:rsidP="0092080A">
      <w:pPr>
        <w:spacing w:after="0" w:line="240" w:lineRule="auto"/>
        <w:jc w:val="center"/>
        <w:rPr>
          <w:rFonts w:ascii="Cambria" w:hAnsi="Cambria"/>
          <w:b/>
          <w:bCs/>
          <w:color w:val="000000" w:themeColor="text1"/>
        </w:rPr>
      </w:pPr>
    </w:p>
    <w:p w14:paraId="404D248E" w14:textId="5F868A15" w:rsidR="00FF54B8" w:rsidRPr="0092080A" w:rsidRDefault="00FF54B8" w:rsidP="0092080A">
      <w:pPr>
        <w:spacing w:after="0" w:line="240" w:lineRule="auto"/>
        <w:jc w:val="center"/>
        <w:rPr>
          <w:rFonts w:ascii="Cambria" w:hAnsi="Cambria"/>
          <w:b/>
          <w:bCs/>
          <w:color w:val="000000" w:themeColor="text1"/>
        </w:rPr>
      </w:pPr>
      <w:r w:rsidRPr="0092080A">
        <w:rPr>
          <w:rFonts w:ascii="Cambria" w:hAnsi="Cambria"/>
          <w:b/>
          <w:bCs/>
          <w:color w:val="000000" w:themeColor="text1"/>
        </w:rPr>
        <w:t>PROCEDURES FOR DISSOLUTION OF SECURITIES INVESTMENT COMPANY</w:t>
      </w:r>
    </w:p>
    <w:p w14:paraId="6D5A6105" w14:textId="77777777" w:rsidR="00FF54B8" w:rsidRPr="0092080A" w:rsidRDefault="00FF54B8" w:rsidP="0092080A">
      <w:pPr>
        <w:spacing w:after="0" w:line="240" w:lineRule="auto"/>
        <w:jc w:val="both"/>
        <w:rPr>
          <w:rFonts w:ascii="Cambria" w:hAnsi="Cambria"/>
          <w:b/>
          <w:bCs/>
          <w:i/>
          <w:iCs/>
          <w:color w:val="000000" w:themeColor="text1"/>
        </w:rPr>
      </w:pPr>
    </w:p>
    <w:p w14:paraId="6A80363F" w14:textId="1D34358B" w:rsidR="00FF54B8" w:rsidRPr="0092080A" w:rsidRDefault="00FF54B8" w:rsidP="0092080A">
      <w:pPr>
        <w:spacing w:after="0" w:line="240" w:lineRule="auto"/>
        <w:jc w:val="both"/>
        <w:rPr>
          <w:rFonts w:ascii="Cambria" w:hAnsi="Cambria"/>
          <w:b/>
          <w:bCs/>
          <w:i/>
          <w:iCs/>
          <w:color w:val="000000" w:themeColor="text1"/>
        </w:rPr>
      </w:pPr>
      <w:r w:rsidRPr="0092080A">
        <w:rPr>
          <w:rFonts w:ascii="Cambria" w:hAnsi="Cambria"/>
          <w:b/>
          <w:bCs/>
          <w:i/>
          <w:iCs/>
          <w:color w:val="000000" w:themeColor="text1"/>
        </w:rPr>
        <w:t>Legal grounds:</w:t>
      </w:r>
    </w:p>
    <w:p w14:paraId="02C132DD" w14:textId="77777777" w:rsidR="00BA3062" w:rsidRPr="0092080A" w:rsidRDefault="00BA3062" w:rsidP="0092080A">
      <w:pPr>
        <w:spacing w:after="0" w:line="240" w:lineRule="auto"/>
        <w:jc w:val="both"/>
        <w:rPr>
          <w:rFonts w:ascii="Cambria" w:hAnsi="Cambria"/>
          <w:i/>
          <w:iCs/>
          <w:color w:val="000000" w:themeColor="text1"/>
        </w:rPr>
      </w:pPr>
    </w:p>
    <w:p w14:paraId="53AE06D9" w14:textId="0ADAB0E7" w:rsidR="00FF54B8" w:rsidRPr="0092080A" w:rsidRDefault="00FF54B8" w:rsidP="0092080A">
      <w:pPr>
        <w:spacing w:after="0" w:line="240" w:lineRule="auto"/>
        <w:jc w:val="both"/>
        <w:rPr>
          <w:rFonts w:ascii="Cambria" w:hAnsi="Cambria"/>
          <w:i/>
          <w:iCs/>
          <w:color w:val="000000" w:themeColor="text1"/>
        </w:rPr>
      </w:pPr>
      <w:r w:rsidRPr="0092080A">
        <w:rPr>
          <w:rFonts w:ascii="Cambria" w:hAnsi="Cambria"/>
          <w:i/>
          <w:iCs/>
          <w:color w:val="000000" w:themeColor="text1"/>
        </w:rPr>
        <w:t>Law on Securities 2019;</w:t>
      </w:r>
    </w:p>
    <w:p w14:paraId="5ED73763" w14:textId="77777777" w:rsidR="00BA3062" w:rsidRPr="0092080A" w:rsidRDefault="00BA3062" w:rsidP="0092080A">
      <w:pPr>
        <w:spacing w:after="0" w:line="240" w:lineRule="auto"/>
        <w:jc w:val="both"/>
        <w:rPr>
          <w:rFonts w:ascii="Cambria" w:hAnsi="Cambria"/>
          <w:i/>
          <w:iCs/>
          <w:color w:val="000000" w:themeColor="text1"/>
        </w:rPr>
      </w:pPr>
    </w:p>
    <w:p w14:paraId="56498541" w14:textId="28490C37" w:rsidR="00FF54B8" w:rsidRPr="0092080A" w:rsidRDefault="00FF54B8" w:rsidP="0092080A">
      <w:pPr>
        <w:spacing w:after="0" w:line="240" w:lineRule="auto"/>
        <w:jc w:val="both"/>
        <w:rPr>
          <w:rFonts w:ascii="Cambria" w:hAnsi="Cambria"/>
          <w:i/>
          <w:iCs/>
          <w:color w:val="000000" w:themeColor="text1"/>
        </w:rPr>
      </w:pPr>
      <w:r w:rsidRPr="0092080A">
        <w:rPr>
          <w:rFonts w:ascii="Cambria" w:hAnsi="Cambria"/>
          <w:i/>
          <w:iCs/>
          <w:color w:val="000000" w:themeColor="text1"/>
        </w:rPr>
        <w:t xml:space="preserve">Law </w:t>
      </w:r>
      <w:r w:rsidR="0092080A">
        <w:rPr>
          <w:rFonts w:ascii="Cambria" w:hAnsi="Cambria"/>
          <w:i/>
          <w:iCs/>
          <w:color w:val="000000" w:themeColor="text1"/>
        </w:rPr>
        <w:t xml:space="preserve">on Enterprises </w:t>
      </w:r>
      <w:r w:rsidRPr="0092080A">
        <w:rPr>
          <w:rFonts w:ascii="Cambria" w:hAnsi="Cambria"/>
          <w:i/>
          <w:iCs/>
          <w:color w:val="000000" w:themeColor="text1"/>
        </w:rPr>
        <w:t>2020;</w:t>
      </w:r>
    </w:p>
    <w:p w14:paraId="761997DD" w14:textId="77777777" w:rsidR="00BA3062" w:rsidRPr="0092080A" w:rsidRDefault="00BA3062" w:rsidP="0092080A">
      <w:pPr>
        <w:spacing w:after="0" w:line="240" w:lineRule="auto"/>
        <w:jc w:val="both"/>
        <w:rPr>
          <w:rFonts w:ascii="Cambria" w:hAnsi="Cambria"/>
          <w:i/>
          <w:iCs/>
          <w:color w:val="000000" w:themeColor="text1"/>
        </w:rPr>
      </w:pPr>
    </w:p>
    <w:p w14:paraId="5D89E0F5" w14:textId="0E5049E2" w:rsidR="00FF54B8" w:rsidRPr="0092080A" w:rsidRDefault="00FF54B8" w:rsidP="0092080A">
      <w:pPr>
        <w:spacing w:after="0" w:line="240" w:lineRule="auto"/>
        <w:jc w:val="both"/>
        <w:rPr>
          <w:rFonts w:ascii="Cambria" w:hAnsi="Cambria"/>
          <w:i/>
          <w:iCs/>
          <w:color w:val="000000" w:themeColor="text1"/>
        </w:rPr>
      </w:pPr>
      <w:r w:rsidRPr="0092080A">
        <w:rPr>
          <w:rFonts w:ascii="Cambria" w:hAnsi="Cambria"/>
          <w:i/>
          <w:iCs/>
          <w:color w:val="000000" w:themeColor="text1"/>
        </w:rPr>
        <w:t>Decree 155/2020/ND-CP</w:t>
      </w:r>
      <w:r w:rsidR="0092080A">
        <w:rPr>
          <w:rFonts w:ascii="Cambria" w:hAnsi="Cambria"/>
          <w:i/>
          <w:iCs/>
          <w:color w:val="000000" w:themeColor="text1"/>
        </w:rPr>
        <w:t xml:space="preserve"> of the Government</w:t>
      </w:r>
      <w:r w:rsidRPr="0092080A">
        <w:rPr>
          <w:rFonts w:ascii="Cambria" w:hAnsi="Cambria"/>
          <w:i/>
          <w:iCs/>
          <w:color w:val="000000" w:themeColor="text1"/>
        </w:rPr>
        <w:t>;</w:t>
      </w:r>
    </w:p>
    <w:p w14:paraId="1A181703" w14:textId="77777777" w:rsidR="00BA3062" w:rsidRPr="0092080A" w:rsidRDefault="00BA3062" w:rsidP="0092080A">
      <w:pPr>
        <w:spacing w:after="0" w:line="240" w:lineRule="auto"/>
        <w:jc w:val="both"/>
        <w:rPr>
          <w:rFonts w:ascii="Cambria" w:hAnsi="Cambria"/>
          <w:i/>
          <w:iCs/>
          <w:color w:val="000000" w:themeColor="text1"/>
        </w:rPr>
      </w:pPr>
    </w:p>
    <w:p w14:paraId="0D8808C0" w14:textId="525C5F92" w:rsidR="00FF54B8" w:rsidRPr="0092080A" w:rsidRDefault="00FF54B8" w:rsidP="0092080A">
      <w:pPr>
        <w:spacing w:after="0" w:line="240" w:lineRule="auto"/>
        <w:jc w:val="both"/>
        <w:rPr>
          <w:rFonts w:ascii="Cambria" w:hAnsi="Cambria"/>
          <w:i/>
          <w:iCs/>
          <w:color w:val="000000" w:themeColor="text1"/>
        </w:rPr>
      </w:pPr>
      <w:r w:rsidRPr="0092080A">
        <w:rPr>
          <w:rFonts w:ascii="Cambria" w:hAnsi="Cambria"/>
          <w:i/>
          <w:iCs/>
          <w:color w:val="000000" w:themeColor="text1"/>
        </w:rPr>
        <w:t>Decree 01/2021/ND-CP</w:t>
      </w:r>
      <w:r w:rsidR="0092080A">
        <w:rPr>
          <w:rFonts w:ascii="Cambria" w:hAnsi="Cambria"/>
          <w:i/>
          <w:iCs/>
          <w:color w:val="000000" w:themeColor="text1"/>
        </w:rPr>
        <w:t xml:space="preserve"> of the Government</w:t>
      </w:r>
      <w:r w:rsidRPr="0092080A">
        <w:rPr>
          <w:rFonts w:ascii="Cambria" w:hAnsi="Cambria"/>
          <w:i/>
          <w:iCs/>
          <w:color w:val="000000" w:themeColor="text1"/>
        </w:rPr>
        <w:t>.</w:t>
      </w:r>
    </w:p>
    <w:p w14:paraId="36C456E3" w14:textId="77777777" w:rsidR="00FF54B8" w:rsidRPr="0092080A" w:rsidRDefault="00FF54B8" w:rsidP="0092080A">
      <w:pPr>
        <w:spacing w:after="0" w:line="240" w:lineRule="auto"/>
        <w:jc w:val="both"/>
        <w:rPr>
          <w:rFonts w:ascii="Cambria" w:hAnsi="Cambria"/>
          <w:color w:val="000000" w:themeColor="text1"/>
        </w:rPr>
      </w:pPr>
    </w:p>
    <w:p w14:paraId="25461197" w14:textId="50BD517F" w:rsidR="00FF54B8" w:rsidRPr="0092080A" w:rsidRDefault="00BA3062" w:rsidP="0092080A">
      <w:pPr>
        <w:pStyle w:val="ListParagraph"/>
        <w:numPr>
          <w:ilvl w:val="0"/>
          <w:numId w:val="5"/>
        </w:numPr>
        <w:spacing w:after="0" w:line="240" w:lineRule="auto"/>
        <w:ind w:hanging="720"/>
        <w:jc w:val="both"/>
        <w:rPr>
          <w:rFonts w:ascii="Cambria" w:hAnsi="Cambria"/>
          <w:b/>
          <w:bCs/>
          <w:color w:val="000000" w:themeColor="text1"/>
        </w:rPr>
      </w:pPr>
      <w:r w:rsidRPr="0092080A">
        <w:rPr>
          <w:rFonts w:ascii="Cambria" w:hAnsi="Cambria"/>
          <w:b/>
          <w:bCs/>
          <w:color w:val="000000" w:themeColor="text1"/>
        </w:rPr>
        <w:t>In w</w:t>
      </w:r>
      <w:r w:rsidR="00FF54B8" w:rsidRPr="0092080A">
        <w:rPr>
          <w:rFonts w:ascii="Cambria" w:hAnsi="Cambria"/>
          <w:b/>
          <w:bCs/>
          <w:color w:val="000000" w:themeColor="text1"/>
        </w:rPr>
        <w:t>hich case the securities investment company is dissolved?</w:t>
      </w:r>
    </w:p>
    <w:p w14:paraId="0C1DA081" w14:textId="77777777" w:rsidR="00FF54B8" w:rsidRPr="0092080A" w:rsidRDefault="00FF54B8" w:rsidP="0092080A">
      <w:pPr>
        <w:spacing w:after="0" w:line="240" w:lineRule="auto"/>
        <w:jc w:val="both"/>
        <w:rPr>
          <w:rFonts w:ascii="Cambria" w:hAnsi="Cambria"/>
          <w:color w:val="000000" w:themeColor="text1"/>
        </w:rPr>
      </w:pPr>
    </w:p>
    <w:p w14:paraId="7B51EC20" w14:textId="187971BF" w:rsidR="00FF54B8" w:rsidRPr="0092080A" w:rsidRDefault="00FF54B8" w:rsidP="0092080A">
      <w:pPr>
        <w:spacing w:after="0" w:line="240" w:lineRule="auto"/>
        <w:jc w:val="both"/>
        <w:rPr>
          <w:rFonts w:ascii="Cambria" w:hAnsi="Cambria"/>
          <w:color w:val="000000" w:themeColor="text1"/>
        </w:rPr>
      </w:pPr>
      <w:r w:rsidRPr="0092080A">
        <w:rPr>
          <w:rFonts w:ascii="Cambria" w:hAnsi="Cambria"/>
          <w:color w:val="000000" w:themeColor="text1"/>
        </w:rPr>
        <w:t>A securities investment company is a securities investment fund organized in the form of a joint-stock company to invest in securities. There are two types of securities investment companies, namely private securities investment companies, and public securities investment companies. According to Article 268.1 of Decree 155/2020/ND-CP, cases of dissolution of a dissolved securities investment company include:</w:t>
      </w:r>
    </w:p>
    <w:p w14:paraId="4CB2D578" w14:textId="77777777" w:rsidR="00494175" w:rsidRPr="0092080A" w:rsidRDefault="00494175" w:rsidP="0092080A">
      <w:pPr>
        <w:pStyle w:val="ListParagraph"/>
        <w:spacing w:after="0" w:line="240" w:lineRule="auto"/>
        <w:jc w:val="both"/>
        <w:rPr>
          <w:rFonts w:ascii="Cambria" w:hAnsi="Cambria"/>
          <w:color w:val="000000" w:themeColor="text1"/>
        </w:rPr>
      </w:pPr>
    </w:p>
    <w:p w14:paraId="03553772" w14:textId="77777777" w:rsidR="00494175" w:rsidRPr="0092080A" w:rsidRDefault="00FF54B8" w:rsidP="0092080A">
      <w:pPr>
        <w:pStyle w:val="ListParagraph"/>
        <w:numPr>
          <w:ilvl w:val="0"/>
          <w:numId w:val="2"/>
        </w:numPr>
        <w:spacing w:after="0" w:line="240" w:lineRule="auto"/>
        <w:ind w:hanging="720"/>
        <w:jc w:val="both"/>
        <w:rPr>
          <w:rFonts w:ascii="Cambria" w:hAnsi="Cambria"/>
          <w:color w:val="000000" w:themeColor="text1"/>
        </w:rPr>
      </w:pPr>
      <w:r w:rsidRPr="0092080A">
        <w:rPr>
          <w:rFonts w:ascii="Cambria" w:hAnsi="Cambria"/>
          <w:color w:val="000000" w:themeColor="text1"/>
        </w:rPr>
        <w:t>End of operation term stated in the charter of the securities investment fund;</w:t>
      </w:r>
    </w:p>
    <w:p w14:paraId="724D86D3" w14:textId="77777777" w:rsidR="00494175" w:rsidRPr="0092080A" w:rsidRDefault="00494175" w:rsidP="0092080A">
      <w:pPr>
        <w:pStyle w:val="ListParagraph"/>
        <w:spacing w:after="0" w:line="240" w:lineRule="auto"/>
        <w:jc w:val="both"/>
        <w:rPr>
          <w:rFonts w:ascii="Cambria" w:hAnsi="Cambria"/>
          <w:color w:val="000000" w:themeColor="text1"/>
        </w:rPr>
      </w:pPr>
    </w:p>
    <w:p w14:paraId="101D9B88" w14:textId="77777777" w:rsidR="00494175" w:rsidRPr="0092080A" w:rsidRDefault="00FF54B8" w:rsidP="0092080A">
      <w:pPr>
        <w:pStyle w:val="ListParagraph"/>
        <w:numPr>
          <w:ilvl w:val="0"/>
          <w:numId w:val="2"/>
        </w:numPr>
        <w:spacing w:after="0" w:line="240" w:lineRule="auto"/>
        <w:ind w:hanging="720"/>
        <w:jc w:val="both"/>
        <w:rPr>
          <w:rFonts w:ascii="Cambria" w:hAnsi="Cambria"/>
          <w:color w:val="000000" w:themeColor="text1"/>
        </w:rPr>
      </w:pPr>
      <w:r w:rsidRPr="0092080A">
        <w:rPr>
          <w:rFonts w:ascii="Cambria" w:hAnsi="Cambria"/>
          <w:color w:val="000000" w:themeColor="text1"/>
        </w:rPr>
        <w:t>The general meeting of investors shall decide to dissolve the securities investment fund before the end of the operation term stated in the charter of the securities investment fund;</w:t>
      </w:r>
    </w:p>
    <w:p w14:paraId="5AE45E7C" w14:textId="77777777" w:rsidR="00494175" w:rsidRPr="0092080A" w:rsidRDefault="00494175" w:rsidP="0092080A">
      <w:pPr>
        <w:pStyle w:val="ListParagraph"/>
        <w:spacing w:after="0" w:line="240" w:lineRule="auto"/>
        <w:rPr>
          <w:rFonts w:ascii="Cambria" w:hAnsi="Cambria"/>
          <w:color w:val="000000" w:themeColor="text1"/>
        </w:rPr>
      </w:pPr>
    </w:p>
    <w:p w14:paraId="18A29D5B" w14:textId="22411B2B" w:rsidR="00494175" w:rsidRPr="0092080A" w:rsidRDefault="00FF54B8" w:rsidP="0092080A">
      <w:pPr>
        <w:pStyle w:val="ListParagraph"/>
        <w:numPr>
          <w:ilvl w:val="0"/>
          <w:numId w:val="2"/>
        </w:numPr>
        <w:spacing w:after="0" w:line="240" w:lineRule="auto"/>
        <w:ind w:hanging="720"/>
        <w:jc w:val="both"/>
        <w:rPr>
          <w:rFonts w:ascii="Cambria" w:hAnsi="Cambria"/>
          <w:color w:val="000000" w:themeColor="text1"/>
        </w:rPr>
      </w:pPr>
      <w:r w:rsidRPr="0092080A">
        <w:rPr>
          <w:rFonts w:ascii="Cambria" w:hAnsi="Cambria"/>
          <w:color w:val="000000" w:themeColor="text1"/>
        </w:rPr>
        <w:t xml:space="preserve">The securities investment fund management company has its license for establishment and securities business revoked or is dissolved or goes bankrupt but the board of representatives of the securities investment fund fails to establish an </w:t>
      </w:r>
      <w:r w:rsidR="0092080A">
        <w:rPr>
          <w:rFonts w:ascii="Cambria" w:hAnsi="Cambria"/>
          <w:color w:val="000000" w:themeColor="text1"/>
        </w:rPr>
        <w:t xml:space="preserve">alternative </w:t>
      </w:r>
      <w:r w:rsidRPr="0092080A">
        <w:rPr>
          <w:rFonts w:ascii="Cambria" w:hAnsi="Cambria"/>
          <w:color w:val="000000" w:themeColor="text1"/>
        </w:rPr>
        <w:t>investment fund management company within 2 months from the date of occurrence of the event;</w:t>
      </w:r>
    </w:p>
    <w:p w14:paraId="317B666E" w14:textId="77777777" w:rsidR="00494175" w:rsidRPr="0092080A" w:rsidRDefault="00494175" w:rsidP="0092080A">
      <w:pPr>
        <w:pStyle w:val="ListParagraph"/>
        <w:spacing w:after="0" w:line="240" w:lineRule="auto"/>
        <w:rPr>
          <w:rFonts w:ascii="Cambria" w:hAnsi="Cambria"/>
          <w:color w:val="000000" w:themeColor="text1"/>
        </w:rPr>
      </w:pPr>
    </w:p>
    <w:p w14:paraId="74DD975E" w14:textId="0F9D3722" w:rsidR="00494175" w:rsidRPr="0092080A" w:rsidRDefault="00FF54B8" w:rsidP="0092080A">
      <w:pPr>
        <w:pStyle w:val="ListParagraph"/>
        <w:numPr>
          <w:ilvl w:val="0"/>
          <w:numId w:val="2"/>
        </w:numPr>
        <w:spacing w:after="0" w:line="240" w:lineRule="auto"/>
        <w:ind w:hanging="720"/>
        <w:jc w:val="both"/>
        <w:rPr>
          <w:rFonts w:ascii="Cambria" w:hAnsi="Cambria"/>
          <w:color w:val="000000" w:themeColor="text1"/>
        </w:rPr>
      </w:pPr>
      <w:r w:rsidRPr="0092080A">
        <w:rPr>
          <w:rFonts w:ascii="Cambria" w:hAnsi="Cambria"/>
          <w:color w:val="000000" w:themeColor="text1"/>
        </w:rPr>
        <w:t xml:space="preserve">The custodian bank has its certificate of registration of securities depository activities revoked, dissolved, goes bankrupt or the custodian contract between the custodian bank and the securities investment fund management company is terminated </w:t>
      </w:r>
      <w:r w:rsidR="0092080A">
        <w:rPr>
          <w:rFonts w:ascii="Cambria" w:hAnsi="Cambria"/>
          <w:color w:val="000000" w:themeColor="text1"/>
        </w:rPr>
        <w:t>but</w:t>
      </w:r>
      <w:r w:rsidRPr="0092080A">
        <w:rPr>
          <w:rFonts w:ascii="Cambria" w:hAnsi="Cambria"/>
          <w:color w:val="000000" w:themeColor="text1"/>
        </w:rPr>
        <w:t xml:space="preserve"> the securities investment fund management company fails to establish a replacement custodian bank within 02 months from the date of occurrence of the event;</w:t>
      </w:r>
    </w:p>
    <w:p w14:paraId="7404EFD9" w14:textId="77777777" w:rsidR="00494175" w:rsidRPr="0092080A" w:rsidRDefault="00494175" w:rsidP="0092080A">
      <w:pPr>
        <w:pStyle w:val="ListParagraph"/>
        <w:spacing w:after="0" w:line="240" w:lineRule="auto"/>
        <w:rPr>
          <w:rFonts w:ascii="Cambria" w:hAnsi="Cambria"/>
          <w:color w:val="000000" w:themeColor="text1"/>
        </w:rPr>
      </w:pPr>
    </w:p>
    <w:p w14:paraId="64455688" w14:textId="42B2B9B6" w:rsidR="00494175" w:rsidRPr="0092080A" w:rsidRDefault="00BA3062" w:rsidP="0092080A">
      <w:pPr>
        <w:pStyle w:val="ListParagraph"/>
        <w:numPr>
          <w:ilvl w:val="0"/>
          <w:numId w:val="2"/>
        </w:numPr>
        <w:spacing w:after="0" w:line="240" w:lineRule="auto"/>
        <w:ind w:hanging="720"/>
        <w:jc w:val="both"/>
        <w:rPr>
          <w:rFonts w:ascii="Cambria" w:hAnsi="Cambria"/>
          <w:color w:val="000000" w:themeColor="text1"/>
        </w:rPr>
      </w:pPr>
      <w:r w:rsidRPr="0092080A">
        <w:rPr>
          <w:rFonts w:ascii="Cambria" w:hAnsi="Cambria"/>
          <w:color w:val="000000" w:themeColor="text1"/>
        </w:rPr>
        <w:t>The n</w:t>
      </w:r>
      <w:r w:rsidR="00FF54B8" w:rsidRPr="0092080A">
        <w:rPr>
          <w:rFonts w:ascii="Cambria" w:hAnsi="Cambria"/>
          <w:color w:val="000000" w:themeColor="text1"/>
        </w:rPr>
        <w:t xml:space="preserve">et asset value of the securities investment fund </w:t>
      </w:r>
      <w:r w:rsidR="0092080A">
        <w:rPr>
          <w:rFonts w:ascii="Cambria" w:hAnsi="Cambria"/>
          <w:color w:val="000000" w:themeColor="text1"/>
        </w:rPr>
        <w:t xml:space="preserve">is valued at </w:t>
      </w:r>
      <w:r w:rsidR="00FF54B8" w:rsidRPr="0092080A">
        <w:rPr>
          <w:rFonts w:ascii="Cambria" w:hAnsi="Cambria"/>
          <w:color w:val="000000" w:themeColor="text1"/>
        </w:rPr>
        <w:t>below 10 billion dongs for 6 consecutive months;</w:t>
      </w:r>
      <w:r w:rsidR="0092080A">
        <w:rPr>
          <w:rFonts w:ascii="Cambria" w:hAnsi="Cambria"/>
          <w:color w:val="000000" w:themeColor="text1"/>
        </w:rPr>
        <w:t xml:space="preserve"> or</w:t>
      </w:r>
    </w:p>
    <w:p w14:paraId="53157E0A" w14:textId="77777777" w:rsidR="00494175" w:rsidRPr="0092080A" w:rsidRDefault="00494175" w:rsidP="0092080A">
      <w:pPr>
        <w:pStyle w:val="ListParagraph"/>
        <w:spacing w:after="0" w:line="240" w:lineRule="auto"/>
        <w:rPr>
          <w:rFonts w:ascii="Cambria" w:hAnsi="Cambria"/>
          <w:color w:val="000000" w:themeColor="text1"/>
        </w:rPr>
      </w:pPr>
    </w:p>
    <w:p w14:paraId="0E58D2E2" w14:textId="149CF3E5" w:rsidR="00FF54B8" w:rsidRPr="0092080A" w:rsidRDefault="00FF54B8" w:rsidP="0092080A">
      <w:pPr>
        <w:pStyle w:val="ListParagraph"/>
        <w:numPr>
          <w:ilvl w:val="0"/>
          <w:numId w:val="2"/>
        </w:numPr>
        <w:spacing w:after="0" w:line="240" w:lineRule="auto"/>
        <w:ind w:hanging="720"/>
        <w:jc w:val="both"/>
        <w:rPr>
          <w:rFonts w:ascii="Cambria" w:hAnsi="Cambria"/>
          <w:color w:val="000000" w:themeColor="text1"/>
        </w:rPr>
      </w:pPr>
      <w:r w:rsidRPr="0092080A">
        <w:rPr>
          <w:rFonts w:ascii="Cambria" w:hAnsi="Cambria"/>
          <w:color w:val="000000" w:themeColor="text1"/>
        </w:rPr>
        <w:t>Other cases as prescribed in the charter of the securities investment fund.</w:t>
      </w:r>
    </w:p>
    <w:p w14:paraId="009EEA91" w14:textId="77777777" w:rsidR="00FF54B8" w:rsidRPr="0092080A" w:rsidRDefault="00FF54B8" w:rsidP="0092080A">
      <w:pPr>
        <w:spacing w:after="0" w:line="240" w:lineRule="auto"/>
        <w:jc w:val="both"/>
        <w:rPr>
          <w:rFonts w:ascii="Cambria" w:hAnsi="Cambria"/>
          <w:color w:val="000000" w:themeColor="text1"/>
        </w:rPr>
      </w:pPr>
    </w:p>
    <w:p w14:paraId="6B997492" w14:textId="73EA6064" w:rsidR="00FF54B8" w:rsidRPr="0092080A" w:rsidRDefault="00FF54B8" w:rsidP="0092080A">
      <w:pPr>
        <w:pStyle w:val="ListParagraph"/>
        <w:numPr>
          <w:ilvl w:val="0"/>
          <w:numId w:val="5"/>
        </w:numPr>
        <w:spacing w:after="0" w:line="240" w:lineRule="auto"/>
        <w:ind w:hanging="720"/>
        <w:jc w:val="both"/>
        <w:rPr>
          <w:rFonts w:ascii="Cambria" w:hAnsi="Cambria"/>
          <w:b/>
          <w:bCs/>
          <w:color w:val="000000" w:themeColor="text1"/>
        </w:rPr>
      </w:pPr>
      <w:r w:rsidRPr="0092080A">
        <w:rPr>
          <w:rFonts w:ascii="Cambria" w:hAnsi="Cambria"/>
          <w:b/>
          <w:bCs/>
          <w:color w:val="000000" w:themeColor="text1"/>
        </w:rPr>
        <w:t>Documents of application for dissolution of a securities investment company</w:t>
      </w:r>
    </w:p>
    <w:p w14:paraId="7919F235" w14:textId="77777777" w:rsidR="00FF54B8" w:rsidRPr="0092080A" w:rsidRDefault="00FF54B8" w:rsidP="0092080A">
      <w:pPr>
        <w:spacing w:after="0" w:line="240" w:lineRule="auto"/>
        <w:jc w:val="both"/>
        <w:rPr>
          <w:rFonts w:ascii="Cambria" w:hAnsi="Cambria"/>
          <w:color w:val="000000" w:themeColor="text1"/>
        </w:rPr>
      </w:pPr>
    </w:p>
    <w:p w14:paraId="736DD9A8" w14:textId="77777777" w:rsidR="00FF54B8" w:rsidRPr="0092080A" w:rsidRDefault="00FF54B8" w:rsidP="0092080A">
      <w:pPr>
        <w:spacing w:after="0" w:line="240" w:lineRule="auto"/>
        <w:jc w:val="both"/>
        <w:rPr>
          <w:rFonts w:ascii="Cambria" w:hAnsi="Cambria"/>
          <w:color w:val="000000" w:themeColor="text1"/>
        </w:rPr>
      </w:pPr>
      <w:r w:rsidRPr="0092080A">
        <w:rPr>
          <w:rFonts w:ascii="Cambria" w:hAnsi="Cambria"/>
          <w:color w:val="000000" w:themeColor="text1"/>
        </w:rPr>
        <w:t>Before proceeding with the dissolution according to the legal order, the securities investment company must prepare a dossier of request for dissolution according to Article 268.3 of Decree 155/2020/ND-CP. Documents include:</w:t>
      </w:r>
    </w:p>
    <w:p w14:paraId="1955A468" w14:textId="77777777" w:rsidR="00494175" w:rsidRPr="0092080A" w:rsidRDefault="00494175" w:rsidP="0092080A">
      <w:pPr>
        <w:pStyle w:val="ListParagraph"/>
        <w:spacing w:after="0" w:line="240" w:lineRule="auto"/>
        <w:jc w:val="both"/>
        <w:rPr>
          <w:rFonts w:ascii="Cambria" w:hAnsi="Cambria"/>
          <w:color w:val="000000" w:themeColor="text1"/>
        </w:rPr>
      </w:pPr>
    </w:p>
    <w:p w14:paraId="2AC36076" w14:textId="102E2EC9" w:rsidR="00494175" w:rsidRPr="0092080A" w:rsidRDefault="00FF54B8" w:rsidP="0092080A">
      <w:pPr>
        <w:pStyle w:val="ListParagraph"/>
        <w:numPr>
          <w:ilvl w:val="0"/>
          <w:numId w:val="2"/>
        </w:numPr>
        <w:spacing w:after="0" w:line="240" w:lineRule="auto"/>
        <w:ind w:hanging="720"/>
        <w:jc w:val="both"/>
        <w:rPr>
          <w:rFonts w:ascii="Cambria" w:hAnsi="Cambria"/>
          <w:color w:val="000000" w:themeColor="text1"/>
        </w:rPr>
      </w:pPr>
      <w:r w:rsidRPr="0092080A">
        <w:rPr>
          <w:rFonts w:ascii="Cambria" w:hAnsi="Cambria"/>
          <w:color w:val="000000" w:themeColor="text1"/>
        </w:rPr>
        <w:t>A written request for dissolution according to Form No. 97 of the Appendix issued together with Decree 155/2020/ND-CP;</w:t>
      </w:r>
    </w:p>
    <w:p w14:paraId="6D120C4E" w14:textId="77777777" w:rsidR="00494175" w:rsidRPr="0092080A" w:rsidRDefault="00494175" w:rsidP="0092080A">
      <w:pPr>
        <w:pStyle w:val="ListParagraph"/>
        <w:spacing w:after="0" w:line="240" w:lineRule="auto"/>
        <w:jc w:val="both"/>
        <w:rPr>
          <w:rFonts w:ascii="Cambria" w:hAnsi="Cambria"/>
          <w:color w:val="000000" w:themeColor="text1"/>
        </w:rPr>
      </w:pPr>
    </w:p>
    <w:p w14:paraId="2CE7B55D" w14:textId="77777777" w:rsidR="00494175" w:rsidRPr="0092080A" w:rsidRDefault="00FF54B8" w:rsidP="0092080A">
      <w:pPr>
        <w:pStyle w:val="ListParagraph"/>
        <w:numPr>
          <w:ilvl w:val="0"/>
          <w:numId w:val="2"/>
        </w:numPr>
        <w:spacing w:after="0" w:line="240" w:lineRule="auto"/>
        <w:ind w:hanging="720"/>
        <w:jc w:val="both"/>
        <w:rPr>
          <w:rFonts w:ascii="Cambria" w:hAnsi="Cambria"/>
          <w:color w:val="000000" w:themeColor="text1"/>
        </w:rPr>
      </w:pPr>
      <w:r w:rsidRPr="0092080A">
        <w:rPr>
          <w:rFonts w:ascii="Cambria" w:hAnsi="Cambria"/>
          <w:color w:val="000000" w:themeColor="text1"/>
        </w:rPr>
        <w:t>Minutes of meetings, resolutions of the General Meeting of Shareholders approving the dissolution of the securities investment company, the plan on the dissolution of the securities investment company;</w:t>
      </w:r>
    </w:p>
    <w:p w14:paraId="502578FA" w14:textId="77777777" w:rsidR="00494175" w:rsidRPr="0092080A" w:rsidRDefault="00494175" w:rsidP="0092080A">
      <w:pPr>
        <w:pStyle w:val="ListParagraph"/>
        <w:spacing w:after="0" w:line="240" w:lineRule="auto"/>
        <w:rPr>
          <w:rFonts w:ascii="Cambria" w:hAnsi="Cambria"/>
          <w:color w:val="000000" w:themeColor="text1"/>
        </w:rPr>
      </w:pPr>
    </w:p>
    <w:p w14:paraId="42C29592" w14:textId="77777777" w:rsidR="00494175" w:rsidRPr="0092080A" w:rsidRDefault="00FF54B8" w:rsidP="0092080A">
      <w:pPr>
        <w:pStyle w:val="ListParagraph"/>
        <w:numPr>
          <w:ilvl w:val="0"/>
          <w:numId w:val="2"/>
        </w:numPr>
        <w:spacing w:after="0" w:line="240" w:lineRule="auto"/>
        <w:ind w:hanging="720"/>
        <w:jc w:val="both"/>
        <w:rPr>
          <w:rFonts w:ascii="Cambria" w:hAnsi="Cambria"/>
          <w:color w:val="000000" w:themeColor="text1"/>
        </w:rPr>
      </w:pPr>
      <w:r w:rsidRPr="0092080A">
        <w:rPr>
          <w:rFonts w:ascii="Cambria" w:hAnsi="Cambria"/>
          <w:color w:val="000000" w:themeColor="text1"/>
        </w:rPr>
        <w:t>The plan for the dissolution of the securities investment company according to Form No. 95 of the Appendix issued together with Decree 155/2020/ND-CP;</w:t>
      </w:r>
    </w:p>
    <w:p w14:paraId="3DF0E65E" w14:textId="77777777" w:rsidR="00494175" w:rsidRPr="0092080A" w:rsidRDefault="00494175" w:rsidP="0092080A">
      <w:pPr>
        <w:pStyle w:val="ListParagraph"/>
        <w:spacing w:after="0" w:line="240" w:lineRule="auto"/>
        <w:rPr>
          <w:rFonts w:ascii="Cambria" w:hAnsi="Cambria"/>
          <w:color w:val="000000" w:themeColor="text1"/>
        </w:rPr>
      </w:pPr>
    </w:p>
    <w:p w14:paraId="347C04D8" w14:textId="10BFDEF0" w:rsidR="00E25ADC" w:rsidRPr="0092080A" w:rsidRDefault="00FF54B8" w:rsidP="0092080A">
      <w:pPr>
        <w:pStyle w:val="ListParagraph"/>
        <w:numPr>
          <w:ilvl w:val="0"/>
          <w:numId w:val="2"/>
        </w:numPr>
        <w:spacing w:after="0" w:line="240" w:lineRule="auto"/>
        <w:ind w:hanging="720"/>
        <w:jc w:val="both"/>
        <w:rPr>
          <w:rFonts w:ascii="Cambria" w:hAnsi="Cambria"/>
          <w:color w:val="000000" w:themeColor="text1"/>
        </w:rPr>
      </w:pPr>
      <w:r w:rsidRPr="0092080A">
        <w:rPr>
          <w:rFonts w:ascii="Cambria" w:hAnsi="Cambria"/>
          <w:color w:val="000000" w:themeColor="text1"/>
        </w:rPr>
        <w:t>A written commitment of the securities investment fund management company (if any), the depository bank, the custodian bank (if any) on the responsibility to complete the procedures for asset liquidation to dissolve the securities investment company.</w:t>
      </w:r>
    </w:p>
    <w:p w14:paraId="2698248A" w14:textId="77777777" w:rsidR="00BA3062" w:rsidRPr="0092080A" w:rsidRDefault="00BA3062" w:rsidP="0092080A">
      <w:pPr>
        <w:pStyle w:val="ListParagraph"/>
        <w:spacing w:after="0" w:line="240" w:lineRule="auto"/>
        <w:rPr>
          <w:rFonts w:ascii="Cambria" w:hAnsi="Cambria"/>
          <w:color w:val="000000" w:themeColor="text1"/>
        </w:rPr>
      </w:pPr>
    </w:p>
    <w:p w14:paraId="05504680" w14:textId="0C7D73E7" w:rsidR="00BA3062" w:rsidRPr="0092080A" w:rsidRDefault="00BA3062" w:rsidP="0092080A">
      <w:pPr>
        <w:pStyle w:val="ListParagraph"/>
        <w:numPr>
          <w:ilvl w:val="0"/>
          <w:numId w:val="5"/>
        </w:numPr>
        <w:spacing w:after="0" w:line="240" w:lineRule="auto"/>
        <w:ind w:hanging="720"/>
        <w:jc w:val="both"/>
        <w:rPr>
          <w:rFonts w:ascii="Cambria" w:hAnsi="Cambria"/>
          <w:b/>
          <w:bCs/>
          <w:color w:val="000000" w:themeColor="text1"/>
        </w:rPr>
      </w:pPr>
      <w:r w:rsidRPr="0092080A">
        <w:rPr>
          <w:rFonts w:ascii="Cambria" w:hAnsi="Cambria"/>
          <w:b/>
          <w:bCs/>
          <w:color w:val="000000" w:themeColor="text1"/>
        </w:rPr>
        <w:t>Procedures for dissolution of a securities investment company under the law on securities and the law on enterprises</w:t>
      </w:r>
    </w:p>
    <w:p w14:paraId="73AD4F86" w14:textId="77777777" w:rsidR="00BA3062" w:rsidRPr="0092080A" w:rsidRDefault="00BA3062" w:rsidP="0092080A">
      <w:pPr>
        <w:spacing w:after="0" w:line="240" w:lineRule="auto"/>
        <w:jc w:val="both"/>
        <w:rPr>
          <w:rFonts w:ascii="Cambria" w:hAnsi="Cambria"/>
          <w:color w:val="000000" w:themeColor="text1"/>
        </w:rPr>
      </w:pPr>
    </w:p>
    <w:p w14:paraId="5AD0BC44" w14:textId="6D7543EF" w:rsidR="00BA3062" w:rsidRPr="0092080A" w:rsidRDefault="00BA3062" w:rsidP="0092080A">
      <w:pPr>
        <w:spacing w:after="0" w:line="240" w:lineRule="auto"/>
        <w:jc w:val="both"/>
        <w:rPr>
          <w:rFonts w:ascii="Cambria" w:hAnsi="Cambria"/>
          <w:color w:val="000000" w:themeColor="text1"/>
        </w:rPr>
      </w:pPr>
      <w:r w:rsidRPr="0092080A">
        <w:rPr>
          <w:rFonts w:ascii="Cambria" w:hAnsi="Cambria"/>
          <w:color w:val="000000" w:themeColor="text1"/>
        </w:rPr>
        <w:t>The order of carrying out the dissolution of a securities investment company is carried out according to the following steps (Article 268 of Decree 155/2020/ND-CP and Decree 01/2021/ND-CP</w:t>
      </w:r>
      <w:r w:rsidR="00110EEB">
        <w:rPr>
          <w:rFonts w:ascii="Cambria" w:hAnsi="Cambria"/>
          <w:color w:val="000000" w:themeColor="text1"/>
        </w:rPr>
        <w:t xml:space="preserve"> of the Government</w:t>
      </w:r>
      <w:r w:rsidRPr="0092080A">
        <w:rPr>
          <w:rFonts w:ascii="Cambria" w:hAnsi="Cambria"/>
          <w:color w:val="000000" w:themeColor="text1"/>
        </w:rPr>
        <w:t>):</w:t>
      </w:r>
    </w:p>
    <w:p w14:paraId="14D36ED2" w14:textId="77777777" w:rsidR="00BA3062" w:rsidRPr="0092080A" w:rsidRDefault="00BA3062" w:rsidP="0092080A">
      <w:pPr>
        <w:spacing w:after="0" w:line="240" w:lineRule="auto"/>
        <w:jc w:val="both"/>
        <w:rPr>
          <w:rFonts w:ascii="Cambria" w:hAnsi="Cambria"/>
          <w:color w:val="000000" w:themeColor="text1"/>
        </w:rPr>
      </w:pPr>
    </w:p>
    <w:p w14:paraId="0E4F3A45" w14:textId="36EDAF2D" w:rsidR="00BA3062" w:rsidRPr="0092080A" w:rsidRDefault="00BA3062" w:rsidP="0092080A">
      <w:pPr>
        <w:pStyle w:val="ListParagraph"/>
        <w:numPr>
          <w:ilvl w:val="0"/>
          <w:numId w:val="6"/>
        </w:numPr>
        <w:spacing w:after="0" w:line="240" w:lineRule="auto"/>
        <w:ind w:hanging="720"/>
        <w:jc w:val="both"/>
        <w:rPr>
          <w:rFonts w:ascii="Cambria" w:hAnsi="Cambria"/>
          <w:color w:val="000000" w:themeColor="text1"/>
        </w:rPr>
      </w:pPr>
      <w:r w:rsidRPr="0092080A">
        <w:rPr>
          <w:rFonts w:ascii="Cambria" w:hAnsi="Cambria"/>
          <w:color w:val="000000" w:themeColor="text1"/>
        </w:rPr>
        <w:t xml:space="preserve">Step 1: Within 03 months before the date of dissolution as prescribed at Points a and b, Clause 1, Article 104 of the Law on Securities 2019 or within 30 days from the date on which the securities investment company falls into the following cases: dissolved under the provisions of points c, d, dd, and e clause 1 Article 104 of the Law on Securities 2019, the Board of </w:t>
      </w:r>
      <w:r w:rsidR="00110EEB">
        <w:rPr>
          <w:rFonts w:ascii="Cambria" w:hAnsi="Cambria"/>
          <w:color w:val="000000" w:themeColor="text1"/>
        </w:rPr>
        <w:t>Management</w:t>
      </w:r>
      <w:r w:rsidRPr="0092080A">
        <w:rPr>
          <w:rFonts w:ascii="Cambria" w:hAnsi="Cambria"/>
          <w:color w:val="000000" w:themeColor="text1"/>
        </w:rPr>
        <w:t xml:space="preserve"> of the securities investment company must convene the General Meeting of Shareholders of the securities investment company to approve the plan on dissolution of the securities investment company.</w:t>
      </w:r>
    </w:p>
    <w:p w14:paraId="107B2397" w14:textId="77777777" w:rsidR="00BA3062" w:rsidRPr="0092080A" w:rsidRDefault="00BA3062" w:rsidP="0092080A">
      <w:pPr>
        <w:spacing w:after="0" w:line="240" w:lineRule="auto"/>
        <w:ind w:hanging="720"/>
        <w:jc w:val="both"/>
        <w:rPr>
          <w:rFonts w:ascii="Cambria" w:hAnsi="Cambria"/>
          <w:color w:val="000000" w:themeColor="text1"/>
        </w:rPr>
      </w:pPr>
    </w:p>
    <w:p w14:paraId="5F110602" w14:textId="42F24BEE" w:rsidR="00BA3062" w:rsidRPr="0092080A" w:rsidRDefault="00BA3062" w:rsidP="0092080A">
      <w:pPr>
        <w:pStyle w:val="ListParagraph"/>
        <w:numPr>
          <w:ilvl w:val="0"/>
          <w:numId w:val="6"/>
        </w:numPr>
        <w:spacing w:after="0" w:line="240" w:lineRule="auto"/>
        <w:ind w:hanging="720"/>
        <w:jc w:val="both"/>
        <w:rPr>
          <w:rFonts w:ascii="Cambria" w:hAnsi="Cambria"/>
          <w:color w:val="000000" w:themeColor="text1"/>
        </w:rPr>
      </w:pPr>
      <w:r w:rsidRPr="0092080A">
        <w:rPr>
          <w:rFonts w:ascii="Cambria" w:hAnsi="Cambria"/>
          <w:color w:val="000000" w:themeColor="text1"/>
        </w:rPr>
        <w:t xml:space="preserve">Step 2: Within 15 days from the date the company's General Meeting of Shareholders approves the dissolution plan, the Board of </w:t>
      </w:r>
      <w:r w:rsidR="00110EEB">
        <w:rPr>
          <w:rFonts w:ascii="Cambria" w:hAnsi="Cambria"/>
          <w:color w:val="000000" w:themeColor="text1"/>
        </w:rPr>
        <w:t>Management</w:t>
      </w:r>
      <w:r w:rsidRPr="0092080A">
        <w:rPr>
          <w:rFonts w:ascii="Cambria" w:hAnsi="Cambria"/>
          <w:color w:val="000000" w:themeColor="text1"/>
        </w:rPr>
        <w:t xml:space="preserve"> of the securities investment company must send a dossier of request for dissolution to the State Securities Committee.</w:t>
      </w:r>
    </w:p>
    <w:p w14:paraId="2B2076BC" w14:textId="77777777" w:rsidR="00BA3062" w:rsidRPr="0092080A" w:rsidRDefault="00BA3062" w:rsidP="0092080A">
      <w:pPr>
        <w:spacing w:after="0" w:line="240" w:lineRule="auto"/>
        <w:ind w:hanging="720"/>
        <w:jc w:val="both"/>
        <w:rPr>
          <w:rFonts w:ascii="Cambria" w:hAnsi="Cambria"/>
          <w:color w:val="000000" w:themeColor="text1"/>
        </w:rPr>
      </w:pPr>
    </w:p>
    <w:p w14:paraId="1777D561" w14:textId="668350A4" w:rsidR="00BA3062" w:rsidRPr="0092080A" w:rsidRDefault="00BA3062" w:rsidP="0092080A">
      <w:pPr>
        <w:pStyle w:val="ListParagraph"/>
        <w:numPr>
          <w:ilvl w:val="0"/>
          <w:numId w:val="6"/>
        </w:numPr>
        <w:spacing w:after="0" w:line="240" w:lineRule="auto"/>
        <w:ind w:hanging="720"/>
        <w:jc w:val="both"/>
        <w:rPr>
          <w:rFonts w:ascii="Cambria" w:hAnsi="Cambria"/>
          <w:color w:val="000000" w:themeColor="text1"/>
        </w:rPr>
      </w:pPr>
      <w:r w:rsidRPr="0092080A">
        <w:rPr>
          <w:rFonts w:ascii="Cambria" w:hAnsi="Cambria"/>
          <w:color w:val="000000" w:themeColor="text1"/>
        </w:rPr>
        <w:t>Step 3: Within 15 days from the date of receiving the complete and valid dossier, the State Securities Committee shall notify the receipt of the plan to dissolve the securities investment company; in case of refusal, must reply in writing and clearly state the reason.</w:t>
      </w:r>
    </w:p>
    <w:p w14:paraId="6B419DDD" w14:textId="77777777" w:rsidR="00BA3062" w:rsidRPr="0092080A" w:rsidRDefault="00BA3062" w:rsidP="0092080A">
      <w:pPr>
        <w:spacing w:after="0" w:line="240" w:lineRule="auto"/>
        <w:ind w:hanging="720"/>
        <w:jc w:val="both"/>
        <w:rPr>
          <w:rFonts w:ascii="Cambria" w:hAnsi="Cambria"/>
          <w:color w:val="000000" w:themeColor="text1"/>
        </w:rPr>
      </w:pPr>
    </w:p>
    <w:p w14:paraId="4F5206E5" w14:textId="0E4F6413" w:rsidR="00BA3062" w:rsidRPr="0092080A" w:rsidRDefault="00BA3062" w:rsidP="0092080A">
      <w:pPr>
        <w:pStyle w:val="ListParagraph"/>
        <w:numPr>
          <w:ilvl w:val="0"/>
          <w:numId w:val="6"/>
        </w:numPr>
        <w:spacing w:after="0" w:line="240" w:lineRule="auto"/>
        <w:ind w:hanging="720"/>
        <w:jc w:val="both"/>
        <w:rPr>
          <w:rFonts w:ascii="Cambria" w:hAnsi="Cambria"/>
          <w:color w:val="000000" w:themeColor="text1"/>
        </w:rPr>
      </w:pPr>
      <w:r w:rsidRPr="0092080A">
        <w:rPr>
          <w:rFonts w:ascii="Cambria" w:hAnsi="Cambria"/>
          <w:color w:val="000000" w:themeColor="text1"/>
        </w:rPr>
        <w:t>Step 4: Carry out the dissolution according to the provisions of the law on enterprises in order</w:t>
      </w:r>
    </w:p>
    <w:p w14:paraId="18DF5057" w14:textId="77777777" w:rsidR="00BA3062" w:rsidRPr="0092080A" w:rsidRDefault="00BA3062" w:rsidP="0092080A">
      <w:pPr>
        <w:spacing w:after="0" w:line="240" w:lineRule="auto"/>
        <w:jc w:val="both"/>
        <w:rPr>
          <w:rFonts w:ascii="Cambria" w:hAnsi="Cambria"/>
          <w:color w:val="000000" w:themeColor="text1"/>
        </w:rPr>
      </w:pPr>
    </w:p>
    <w:p w14:paraId="1500E08D" w14:textId="77777777" w:rsidR="00BA3062" w:rsidRPr="0092080A" w:rsidRDefault="00BA3062" w:rsidP="0092080A">
      <w:pPr>
        <w:pStyle w:val="ListParagraph"/>
        <w:numPr>
          <w:ilvl w:val="0"/>
          <w:numId w:val="7"/>
        </w:numPr>
        <w:spacing w:after="0" w:line="240" w:lineRule="auto"/>
        <w:ind w:left="1418"/>
        <w:jc w:val="both"/>
        <w:rPr>
          <w:rFonts w:ascii="Cambria" w:hAnsi="Cambria"/>
          <w:color w:val="000000" w:themeColor="text1"/>
        </w:rPr>
      </w:pPr>
      <w:r w:rsidRPr="0092080A">
        <w:rPr>
          <w:rFonts w:ascii="Cambria" w:hAnsi="Cambria"/>
          <w:color w:val="000000" w:themeColor="text1"/>
        </w:rPr>
        <w:t>Approving resolutions and decisions on the dissolution of the company;</w:t>
      </w:r>
    </w:p>
    <w:p w14:paraId="400D7C49" w14:textId="77777777" w:rsidR="00BA3062" w:rsidRPr="0092080A" w:rsidRDefault="00BA3062" w:rsidP="0092080A">
      <w:pPr>
        <w:pStyle w:val="ListParagraph"/>
        <w:spacing w:after="0" w:line="240" w:lineRule="auto"/>
        <w:ind w:left="1418"/>
        <w:jc w:val="both"/>
        <w:rPr>
          <w:rFonts w:ascii="Cambria" w:hAnsi="Cambria"/>
          <w:color w:val="000000" w:themeColor="text1"/>
        </w:rPr>
      </w:pPr>
    </w:p>
    <w:p w14:paraId="06726B69" w14:textId="77777777" w:rsidR="00BA3062" w:rsidRPr="0092080A" w:rsidRDefault="00BA3062" w:rsidP="0092080A">
      <w:pPr>
        <w:pStyle w:val="ListParagraph"/>
        <w:numPr>
          <w:ilvl w:val="0"/>
          <w:numId w:val="7"/>
        </w:numPr>
        <w:spacing w:after="0" w:line="240" w:lineRule="auto"/>
        <w:ind w:left="1418"/>
        <w:jc w:val="both"/>
        <w:rPr>
          <w:rFonts w:ascii="Cambria" w:hAnsi="Cambria"/>
          <w:color w:val="000000" w:themeColor="text1"/>
        </w:rPr>
      </w:pPr>
      <w:r w:rsidRPr="0092080A">
        <w:rPr>
          <w:rFonts w:ascii="Cambria" w:hAnsi="Cambria"/>
          <w:color w:val="000000" w:themeColor="text1"/>
        </w:rPr>
        <w:t>Organize the liquidation of corporate assets and payment of debts;</w:t>
      </w:r>
    </w:p>
    <w:p w14:paraId="6E8F3C2F" w14:textId="77777777" w:rsidR="00BA3062" w:rsidRPr="0092080A" w:rsidRDefault="00BA3062" w:rsidP="0092080A">
      <w:pPr>
        <w:pStyle w:val="ListParagraph"/>
        <w:spacing w:after="0" w:line="240" w:lineRule="auto"/>
        <w:ind w:left="1418"/>
        <w:rPr>
          <w:rFonts w:ascii="Cambria" w:hAnsi="Cambria"/>
          <w:color w:val="000000" w:themeColor="text1"/>
        </w:rPr>
      </w:pPr>
    </w:p>
    <w:p w14:paraId="5677C20D" w14:textId="77777777" w:rsidR="00BA3062" w:rsidRPr="0092080A" w:rsidRDefault="00BA3062" w:rsidP="0092080A">
      <w:pPr>
        <w:pStyle w:val="ListParagraph"/>
        <w:numPr>
          <w:ilvl w:val="0"/>
          <w:numId w:val="7"/>
        </w:numPr>
        <w:spacing w:after="0" w:line="240" w:lineRule="auto"/>
        <w:ind w:left="1418"/>
        <w:jc w:val="both"/>
        <w:rPr>
          <w:rFonts w:ascii="Cambria" w:hAnsi="Cambria"/>
          <w:color w:val="000000" w:themeColor="text1"/>
        </w:rPr>
      </w:pPr>
      <w:r w:rsidRPr="0092080A">
        <w:rPr>
          <w:rFonts w:ascii="Cambria" w:hAnsi="Cambria"/>
          <w:color w:val="000000" w:themeColor="text1"/>
        </w:rPr>
        <w:t>Submit resolution, dissolution decision, and meeting minutes to the Business Registration Authority;</w:t>
      </w:r>
    </w:p>
    <w:p w14:paraId="4B5C4690" w14:textId="77777777" w:rsidR="00BA3062" w:rsidRPr="0092080A" w:rsidRDefault="00BA3062" w:rsidP="0092080A">
      <w:pPr>
        <w:pStyle w:val="ListParagraph"/>
        <w:spacing w:after="0" w:line="240" w:lineRule="auto"/>
        <w:ind w:left="1418"/>
        <w:rPr>
          <w:rFonts w:ascii="Cambria" w:hAnsi="Cambria"/>
          <w:color w:val="000000" w:themeColor="text1"/>
        </w:rPr>
      </w:pPr>
    </w:p>
    <w:p w14:paraId="19A197FC" w14:textId="618DE801" w:rsidR="00BA3062" w:rsidRPr="0092080A" w:rsidRDefault="00BA3062" w:rsidP="0092080A">
      <w:pPr>
        <w:pStyle w:val="ListParagraph"/>
        <w:numPr>
          <w:ilvl w:val="0"/>
          <w:numId w:val="7"/>
        </w:numPr>
        <w:spacing w:after="0" w:line="240" w:lineRule="auto"/>
        <w:ind w:left="1418"/>
        <w:jc w:val="both"/>
        <w:rPr>
          <w:rFonts w:ascii="Cambria" w:hAnsi="Cambria"/>
          <w:color w:val="000000" w:themeColor="text1"/>
        </w:rPr>
      </w:pPr>
      <w:r w:rsidRPr="0092080A">
        <w:rPr>
          <w:rFonts w:ascii="Cambria" w:hAnsi="Cambria"/>
          <w:color w:val="000000" w:themeColor="text1"/>
        </w:rPr>
        <w:lastRenderedPageBreak/>
        <w:t>Update the legal status of the business in the National Business Registration</w:t>
      </w:r>
      <w:r w:rsidR="003C4CAB">
        <w:rPr>
          <w:rFonts w:ascii="Cambria" w:hAnsi="Cambria"/>
          <w:color w:val="000000" w:themeColor="text1"/>
        </w:rPr>
        <w:t xml:space="preserve"> Portal</w:t>
      </w:r>
      <w:r w:rsidRPr="0092080A">
        <w:rPr>
          <w:rFonts w:ascii="Cambria" w:hAnsi="Cambria"/>
          <w:color w:val="000000" w:themeColor="text1"/>
        </w:rPr>
        <w:t>.</w:t>
      </w:r>
    </w:p>
    <w:p w14:paraId="675061E8" w14:textId="77777777" w:rsidR="00BA3062" w:rsidRPr="0092080A" w:rsidRDefault="00BA3062" w:rsidP="0092080A">
      <w:pPr>
        <w:spacing w:after="0" w:line="240" w:lineRule="auto"/>
        <w:jc w:val="both"/>
        <w:rPr>
          <w:rFonts w:ascii="Cambria" w:hAnsi="Cambria"/>
          <w:color w:val="000000" w:themeColor="text1"/>
        </w:rPr>
      </w:pPr>
    </w:p>
    <w:p w14:paraId="11C8E670" w14:textId="372934EC" w:rsidR="00BA3062" w:rsidRPr="0092080A" w:rsidRDefault="00BA3062" w:rsidP="0092080A">
      <w:pPr>
        <w:pStyle w:val="ListParagraph"/>
        <w:numPr>
          <w:ilvl w:val="0"/>
          <w:numId w:val="6"/>
        </w:numPr>
        <w:spacing w:after="0" w:line="240" w:lineRule="auto"/>
        <w:ind w:hanging="720"/>
        <w:jc w:val="both"/>
        <w:rPr>
          <w:rFonts w:ascii="Cambria" w:hAnsi="Cambria"/>
          <w:color w:val="000000" w:themeColor="text1"/>
        </w:rPr>
      </w:pPr>
      <w:r w:rsidRPr="0092080A">
        <w:rPr>
          <w:rFonts w:ascii="Cambria" w:hAnsi="Cambria"/>
          <w:color w:val="000000" w:themeColor="text1"/>
        </w:rPr>
        <w:t xml:space="preserve">Step 5: Within 05 working days from the date of completion of the dissolution of the securities investment company, the Board of </w:t>
      </w:r>
      <w:r w:rsidR="003C4CAB">
        <w:rPr>
          <w:rFonts w:ascii="Cambria" w:hAnsi="Cambria"/>
          <w:color w:val="000000" w:themeColor="text1"/>
        </w:rPr>
        <w:t>Management</w:t>
      </w:r>
      <w:r w:rsidRPr="0092080A">
        <w:rPr>
          <w:rFonts w:ascii="Cambria" w:hAnsi="Cambria"/>
          <w:color w:val="000000" w:themeColor="text1"/>
        </w:rPr>
        <w:t xml:space="preserve"> must report to the State Securities Commission on the results of the dissolution of the securities investment fund. A dossier of a report on dissolution of a securities investment company includes:</w:t>
      </w:r>
    </w:p>
    <w:p w14:paraId="633D1267" w14:textId="77777777" w:rsidR="00BA3062" w:rsidRPr="0092080A" w:rsidRDefault="00BA3062" w:rsidP="0092080A">
      <w:pPr>
        <w:spacing w:after="0" w:line="240" w:lineRule="auto"/>
        <w:jc w:val="both"/>
        <w:rPr>
          <w:rFonts w:ascii="Cambria" w:hAnsi="Cambria"/>
          <w:color w:val="000000" w:themeColor="text1"/>
        </w:rPr>
      </w:pPr>
    </w:p>
    <w:p w14:paraId="2F0F917E" w14:textId="7839FD6A" w:rsidR="00BA3062" w:rsidRPr="0092080A" w:rsidRDefault="00BA3062" w:rsidP="0092080A">
      <w:pPr>
        <w:pStyle w:val="ListParagraph"/>
        <w:numPr>
          <w:ilvl w:val="0"/>
          <w:numId w:val="10"/>
        </w:numPr>
        <w:spacing w:after="0" w:line="240" w:lineRule="auto"/>
        <w:ind w:left="1418" w:hanging="709"/>
        <w:jc w:val="both"/>
        <w:rPr>
          <w:rFonts w:ascii="Cambria" w:hAnsi="Cambria"/>
          <w:color w:val="000000" w:themeColor="text1"/>
        </w:rPr>
      </w:pPr>
      <w:r w:rsidRPr="0092080A">
        <w:rPr>
          <w:rFonts w:ascii="Cambria" w:hAnsi="Cambria"/>
          <w:color w:val="000000" w:themeColor="text1"/>
        </w:rPr>
        <w:t xml:space="preserve">Report on dissolution results according to Form No. 98 of the Appendix issued together with Decree 155/2020/ND-CP certified by the securities investment fund management company, depository bank, custodian bank (if any), the audit organization, the Board of </w:t>
      </w:r>
      <w:proofErr w:type="spellStart"/>
      <w:r w:rsidR="003C4CAB">
        <w:rPr>
          <w:rFonts w:ascii="Cambria" w:hAnsi="Cambria"/>
          <w:color w:val="000000" w:themeColor="text1"/>
        </w:rPr>
        <w:t>Mnagement</w:t>
      </w:r>
      <w:proofErr w:type="spellEnd"/>
      <w:r w:rsidRPr="0092080A">
        <w:rPr>
          <w:rFonts w:ascii="Cambria" w:hAnsi="Cambria"/>
          <w:color w:val="000000" w:themeColor="text1"/>
        </w:rPr>
        <w:t xml:space="preserve"> of the securities investment company on the liquidation of the company's assets, and the distribution of the company's assets to shareholders according to the plan approved by the General Meeting of Shareholders</w:t>
      </w:r>
      <w:r w:rsidR="003C4CAB">
        <w:rPr>
          <w:rFonts w:ascii="Cambria" w:hAnsi="Cambria"/>
          <w:color w:val="000000" w:themeColor="text1"/>
        </w:rPr>
        <w:t xml:space="preserve">; </w:t>
      </w:r>
      <w:r w:rsidRPr="0092080A">
        <w:rPr>
          <w:rFonts w:ascii="Cambria" w:hAnsi="Cambria"/>
          <w:color w:val="000000" w:themeColor="text1"/>
        </w:rPr>
        <w:t xml:space="preserve">total value of assets obtained after liquidation; total liabilities, including financial obligations to the </w:t>
      </w:r>
      <w:r w:rsidR="003C4CAB">
        <w:rPr>
          <w:rFonts w:ascii="Cambria" w:hAnsi="Cambria"/>
          <w:color w:val="000000" w:themeColor="text1"/>
        </w:rPr>
        <w:t>S</w:t>
      </w:r>
      <w:r w:rsidRPr="0092080A">
        <w:rPr>
          <w:rFonts w:ascii="Cambria" w:hAnsi="Cambria"/>
          <w:color w:val="000000" w:themeColor="text1"/>
        </w:rPr>
        <w:t>tate and the remaining assets to be distributed to shareholders. The report must include a list of creditors and the amount of debt paid, including tax debts;</w:t>
      </w:r>
    </w:p>
    <w:p w14:paraId="4726F515" w14:textId="77777777" w:rsidR="00BA3062" w:rsidRPr="0092080A" w:rsidRDefault="00BA3062" w:rsidP="0092080A">
      <w:pPr>
        <w:pStyle w:val="ListParagraph"/>
        <w:spacing w:after="0" w:line="240" w:lineRule="auto"/>
        <w:ind w:left="1418"/>
        <w:jc w:val="both"/>
        <w:rPr>
          <w:rFonts w:ascii="Cambria" w:hAnsi="Cambria"/>
          <w:color w:val="000000" w:themeColor="text1"/>
        </w:rPr>
      </w:pPr>
    </w:p>
    <w:p w14:paraId="4867980E" w14:textId="4AD20B5A" w:rsidR="00BA3062" w:rsidRPr="0092080A" w:rsidRDefault="00BA3062" w:rsidP="0092080A">
      <w:pPr>
        <w:pStyle w:val="ListParagraph"/>
        <w:numPr>
          <w:ilvl w:val="0"/>
          <w:numId w:val="10"/>
        </w:numPr>
        <w:spacing w:after="0" w:line="240" w:lineRule="auto"/>
        <w:ind w:left="1418" w:hanging="709"/>
        <w:jc w:val="both"/>
        <w:rPr>
          <w:rFonts w:ascii="Cambria" w:hAnsi="Cambria"/>
          <w:color w:val="000000" w:themeColor="text1"/>
        </w:rPr>
      </w:pPr>
      <w:r w:rsidRPr="0092080A">
        <w:rPr>
          <w:rFonts w:ascii="Cambria" w:hAnsi="Cambria"/>
          <w:color w:val="000000" w:themeColor="text1"/>
        </w:rPr>
        <w:t>The original license of establishment and operation of the securities investment company;</w:t>
      </w:r>
    </w:p>
    <w:p w14:paraId="49413CAF" w14:textId="77777777" w:rsidR="00BA3062" w:rsidRPr="0092080A" w:rsidRDefault="00BA3062" w:rsidP="0092080A">
      <w:pPr>
        <w:pStyle w:val="ListParagraph"/>
        <w:spacing w:after="0" w:line="240" w:lineRule="auto"/>
        <w:rPr>
          <w:rFonts w:ascii="Cambria" w:hAnsi="Cambria"/>
          <w:color w:val="000000" w:themeColor="text1"/>
        </w:rPr>
      </w:pPr>
    </w:p>
    <w:p w14:paraId="1A7D02A2" w14:textId="5524CC13" w:rsidR="00BA3062" w:rsidRPr="0092080A" w:rsidRDefault="00BA3062" w:rsidP="0092080A">
      <w:pPr>
        <w:pStyle w:val="ListParagraph"/>
        <w:numPr>
          <w:ilvl w:val="0"/>
          <w:numId w:val="10"/>
        </w:numPr>
        <w:spacing w:after="0" w:line="240" w:lineRule="auto"/>
        <w:ind w:left="1418" w:hanging="709"/>
        <w:jc w:val="both"/>
        <w:rPr>
          <w:rFonts w:ascii="Cambria" w:hAnsi="Cambria"/>
          <w:color w:val="000000" w:themeColor="text1"/>
        </w:rPr>
      </w:pPr>
      <w:r w:rsidRPr="0092080A">
        <w:rPr>
          <w:rFonts w:ascii="Cambria" w:hAnsi="Cambria"/>
          <w:color w:val="000000" w:themeColor="text1"/>
        </w:rPr>
        <w:t xml:space="preserve">Report on the appraisal of asset liquidation results of the audit organization appointed by the General Meeting of Shareholders, the Board of </w:t>
      </w:r>
      <w:r w:rsidR="003C4CAB">
        <w:rPr>
          <w:rFonts w:ascii="Cambria" w:hAnsi="Cambria"/>
          <w:color w:val="000000" w:themeColor="text1"/>
        </w:rPr>
        <w:t>Management</w:t>
      </w:r>
      <w:r w:rsidRPr="0092080A">
        <w:rPr>
          <w:rFonts w:ascii="Cambria" w:hAnsi="Cambria"/>
          <w:color w:val="000000" w:themeColor="text1"/>
        </w:rPr>
        <w:t xml:space="preserve"> of the securities investment company (if any);</w:t>
      </w:r>
    </w:p>
    <w:p w14:paraId="48DAAFC2" w14:textId="77777777" w:rsidR="00BA3062" w:rsidRPr="0092080A" w:rsidRDefault="00BA3062" w:rsidP="0092080A">
      <w:pPr>
        <w:pStyle w:val="ListParagraph"/>
        <w:spacing w:after="0" w:line="240" w:lineRule="auto"/>
        <w:rPr>
          <w:rFonts w:ascii="Cambria" w:hAnsi="Cambria"/>
          <w:color w:val="000000" w:themeColor="text1"/>
        </w:rPr>
      </w:pPr>
    </w:p>
    <w:p w14:paraId="63D14664" w14:textId="24624D21" w:rsidR="00BA3062" w:rsidRPr="0092080A" w:rsidRDefault="00BA3062" w:rsidP="0092080A">
      <w:pPr>
        <w:pStyle w:val="ListParagraph"/>
        <w:numPr>
          <w:ilvl w:val="0"/>
          <w:numId w:val="10"/>
        </w:numPr>
        <w:spacing w:after="0" w:line="240" w:lineRule="auto"/>
        <w:ind w:left="1418" w:hanging="709"/>
        <w:jc w:val="both"/>
        <w:rPr>
          <w:rFonts w:ascii="Cambria" w:hAnsi="Cambria"/>
          <w:color w:val="000000" w:themeColor="text1"/>
        </w:rPr>
      </w:pPr>
      <w:r w:rsidRPr="0092080A">
        <w:rPr>
          <w:rFonts w:ascii="Cambria" w:hAnsi="Cambria"/>
          <w:color w:val="000000" w:themeColor="text1"/>
        </w:rPr>
        <w:t>Documents of the depository bank, custodian bank (if any), and securities investment fund management company (if any) detailing the payment, list of assets distributed to each shareholder, enclosed with according to the certification of the shareholders that they have received enough money and assets according to the dissolution plan approved by the General Meeting of Shareholders or the confirmation of the Vietnam Securities Depository and Clearing Corporation that the refund has been completed</w:t>
      </w:r>
      <w:r w:rsidR="003C4CAB">
        <w:rPr>
          <w:rFonts w:ascii="Cambria" w:hAnsi="Cambria"/>
          <w:color w:val="000000" w:themeColor="text1"/>
        </w:rPr>
        <w:t>,</w:t>
      </w:r>
      <w:r w:rsidRPr="0092080A">
        <w:rPr>
          <w:rFonts w:ascii="Cambria" w:hAnsi="Cambria"/>
          <w:color w:val="000000" w:themeColor="text1"/>
        </w:rPr>
        <w:t xml:space="preserve"> all allocation and registration of securities to shareholders at the request of the securities investment fund management company, depository bank, custodian bank (if any), and shareholders; certification of the organization managing the shareholder book, the issuing organization, the enterprise receiving the investment capital of the securities investment fund on the completion of the transfer of ownership of shares and contributed capital to each shareholders of securities investment companies at the request of securities investment fund management companies.</w:t>
      </w:r>
    </w:p>
    <w:p w14:paraId="7F7E132A" w14:textId="77777777" w:rsidR="00BA3062" w:rsidRPr="0092080A" w:rsidRDefault="00BA3062" w:rsidP="0092080A">
      <w:pPr>
        <w:pStyle w:val="ListParagraph"/>
        <w:spacing w:after="0" w:line="240" w:lineRule="auto"/>
        <w:jc w:val="both"/>
        <w:rPr>
          <w:rFonts w:ascii="Cambria" w:hAnsi="Cambria"/>
          <w:color w:val="000000" w:themeColor="text1"/>
        </w:rPr>
      </w:pPr>
    </w:p>
    <w:p w14:paraId="20C2AB04" w14:textId="77777777" w:rsidR="00C646CE" w:rsidRPr="0092080A" w:rsidRDefault="00C646CE" w:rsidP="0092080A">
      <w:pPr>
        <w:spacing w:after="0" w:line="240" w:lineRule="auto"/>
        <w:rPr>
          <w:rFonts w:ascii="Cambria" w:hAnsi="Cambria"/>
          <w:color w:val="000000" w:themeColor="text1"/>
        </w:rPr>
      </w:pPr>
      <w:r w:rsidRPr="0092080A">
        <w:rPr>
          <w:rFonts w:ascii="Cambria" w:hAnsi="Cambria"/>
          <w:color w:val="000000" w:themeColor="text1"/>
        </w:rPr>
        <w:br w:type="page"/>
      </w:r>
    </w:p>
    <w:p w14:paraId="5AE13A11" w14:textId="0D7D7373" w:rsidR="00C646CE" w:rsidRPr="0092080A" w:rsidRDefault="00BA3062" w:rsidP="0092080A">
      <w:pPr>
        <w:pStyle w:val="ListParagraph"/>
        <w:numPr>
          <w:ilvl w:val="0"/>
          <w:numId w:val="6"/>
        </w:numPr>
        <w:spacing w:after="0" w:line="240" w:lineRule="auto"/>
        <w:ind w:hanging="720"/>
        <w:jc w:val="both"/>
        <w:rPr>
          <w:rFonts w:ascii="Cambria" w:hAnsi="Cambria"/>
          <w:color w:val="000000" w:themeColor="text1"/>
        </w:rPr>
      </w:pPr>
      <w:r w:rsidRPr="0092080A">
        <w:rPr>
          <w:rFonts w:ascii="Cambria" w:hAnsi="Cambria"/>
          <w:color w:val="000000" w:themeColor="text1"/>
        </w:rPr>
        <w:lastRenderedPageBreak/>
        <w:t>Step 6: Within 15 days from the date of receipt of a complete set of documents and reports on the dissolution of the company, the State Securities Commission shall issue a decision to revoke the License for establishment and operation of the securities investment company.</w:t>
      </w:r>
    </w:p>
    <w:p w14:paraId="7180974F" w14:textId="77777777" w:rsidR="00C646CE" w:rsidRPr="0092080A" w:rsidRDefault="00C646CE" w:rsidP="0092080A">
      <w:pPr>
        <w:pStyle w:val="ListParagraph"/>
        <w:spacing w:after="0" w:line="240" w:lineRule="auto"/>
        <w:jc w:val="right"/>
        <w:rPr>
          <w:rFonts w:ascii="Cambria" w:hAnsi="Cambria"/>
          <w:b/>
          <w:bCs/>
          <w:i/>
          <w:iCs/>
          <w:color w:val="000000" w:themeColor="text1"/>
          <w:u w:val="single"/>
        </w:rPr>
      </w:pPr>
    </w:p>
    <w:p w14:paraId="3CA06F88" w14:textId="6A35B6AA" w:rsidR="00823B11" w:rsidRPr="0092080A" w:rsidRDefault="00BA3062" w:rsidP="0092080A">
      <w:pPr>
        <w:pStyle w:val="ListParagraph"/>
        <w:spacing w:after="0" w:line="240" w:lineRule="auto"/>
        <w:jc w:val="right"/>
        <w:rPr>
          <w:rFonts w:ascii="Cambria" w:hAnsi="Cambria"/>
          <w:color w:val="000000" w:themeColor="text1"/>
        </w:rPr>
      </w:pPr>
      <w:r w:rsidRPr="0092080A">
        <w:rPr>
          <w:rFonts w:ascii="Cambria" w:hAnsi="Cambria"/>
          <w:b/>
          <w:bCs/>
          <w:i/>
          <w:iCs/>
          <w:color w:val="000000" w:themeColor="text1"/>
          <w:u w:val="single"/>
        </w:rPr>
        <w:t>ADK &amp; Co Vietnam Lawyers.</w:t>
      </w:r>
    </w:p>
    <w:sectPr w:rsidR="00823B11" w:rsidRPr="0092080A" w:rsidSect="00BA3062">
      <w:headerReference w:type="default" r:id="rId7"/>
      <w:footerReference w:type="default" r:id="rId8"/>
      <w:pgSz w:w="12240" w:h="15840"/>
      <w:pgMar w:top="1134" w:right="1134" w:bottom="1134" w:left="141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F4F1D3" w14:textId="77777777" w:rsidR="007D65AC" w:rsidRDefault="007D65AC" w:rsidP="00E25ADC">
      <w:pPr>
        <w:spacing w:after="0" w:line="240" w:lineRule="auto"/>
      </w:pPr>
      <w:r>
        <w:separator/>
      </w:r>
    </w:p>
  </w:endnote>
  <w:endnote w:type="continuationSeparator" w:id="0">
    <w:p w14:paraId="6BF90634" w14:textId="77777777" w:rsidR="007D65AC" w:rsidRDefault="007D65AC" w:rsidP="00E25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E2A95" w14:textId="77777777" w:rsidR="00E25ADC" w:rsidRPr="0092080A" w:rsidRDefault="00E25ADC" w:rsidP="0092080A">
    <w:pPr>
      <w:pBdr>
        <w:top w:val="single" w:sz="4" w:space="0" w:color="808080"/>
        <w:left w:val="single" w:sz="4" w:space="4" w:color="808080"/>
        <w:bottom w:val="single" w:sz="4" w:space="0" w:color="808080"/>
        <w:right w:val="single" w:sz="4" w:space="1" w:color="808080"/>
      </w:pBdr>
      <w:tabs>
        <w:tab w:val="center" w:pos="4320"/>
        <w:tab w:val="left" w:pos="8730"/>
        <w:tab w:val="left" w:pos="13770"/>
      </w:tabs>
      <w:spacing w:after="0" w:line="240" w:lineRule="auto"/>
      <w:jc w:val="center"/>
      <w:rPr>
        <w:rFonts w:ascii="Cambria" w:hAnsi="Cambria"/>
        <w:b/>
        <w:sz w:val="20"/>
        <w:szCs w:val="20"/>
      </w:rPr>
    </w:pPr>
    <w:r w:rsidRPr="0092080A">
      <w:rPr>
        <w:rFonts w:ascii="Cambria" w:hAnsi="Cambria"/>
        <w:b/>
        <w:sz w:val="20"/>
        <w:szCs w:val="20"/>
        <w:lang w:val="en"/>
      </w:rPr>
      <w:t>ADK &amp; Co Vietnam Lawyers</w:t>
    </w:r>
  </w:p>
  <w:p w14:paraId="5FB456F1" w14:textId="77777777" w:rsidR="00E25ADC" w:rsidRPr="0092080A" w:rsidRDefault="007D65AC" w:rsidP="0092080A">
    <w:pPr>
      <w:pBdr>
        <w:top w:val="single" w:sz="4" w:space="0" w:color="808080"/>
        <w:left w:val="single" w:sz="4" w:space="4" w:color="808080"/>
        <w:bottom w:val="single" w:sz="4" w:space="0" w:color="808080"/>
        <w:right w:val="single" w:sz="4" w:space="1" w:color="808080"/>
      </w:pBdr>
      <w:tabs>
        <w:tab w:val="center" w:pos="5760"/>
        <w:tab w:val="left" w:pos="8730"/>
        <w:tab w:val="left" w:pos="13770"/>
      </w:tabs>
      <w:spacing w:after="0" w:line="240" w:lineRule="auto"/>
      <w:jc w:val="center"/>
      <w:rPr>
        <w:rFonts w:ascii="Cambria" w:hAnsi="Cambria"/>
        <w:sz w:val="20"/>
        <w:szCs w:val="20"/>
      </w:rPr>
    </w:pPr>
    <w:hyperlink r:id="rId1" w:history="1">
      <w:r w:rsidR="00E25ADC" w:rsidRPr="0092080A">
        <w:rPr>
          <w:rStyle w:val="Hyperlink"/>
          <w:rFonts w:ascii="Cambria" w:hAnsi="Cambria"/>
          <w:sz w:val="20"/>
          <w:szCs w:val="20"/>
          <w:lang w:val="en"/>
        </w:rPr>
        <w:t>www.adk-lawyers.com</w:t>
      </w:r>
    </w:hyperlink>
  </w:p>
  <w:p w14:paraId="39A72CD6" w14:textId="77777777" w:rsidR="00E25ADC" w:rsidRDefault="00E25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111BA" w14:textId="77777777" w:rsidR="007D65AC" w:rsidRDefault="007D65AC" w:rsidP="00E25ADC">
      <w:pPr>
        <w:spacing w:after="0" w:line="240" w:lineRule="auto"/>
      </w:pPr>
      <w:r>
        <w:separator/>
      </w:r>
    </w:p>
  </w:footnote>
  <w:footnote w:type="continuationSeparator" w:id="0">
    <w:p w14:paraId="7CB73CFA" w14:textId="77777777" w:rsidR="007D65AC" w:rsidRDefault="007D65AC" w:rsidP="00E25A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E8436" w14:textId="5223D63B" w:rsidR="00E25ADC" w:rsidRDefault="00E25ADC">
    <w:pPr>
      <w:pStyle w:val="Header"/>
    </w:pPr>
    <w:r>
      <w:rPr>
        <w:noProof/>
      </w:rPr>
      <w:drawing>
        <wp:anchor distT="0" distB="0" distL="114300" distR="114300" simplePos="0" relativeHeight="251659264" behindDoc="1" locked="0" layoutInCell="1" allowOverlap="1" wp14:anchorId="43DE7844" wp14:editId="0C5C10CA">
          <wp:simplePos x="0" y="0"/>
          <wp:positionH relativeFrom="page">
            <wp:align>left</wp:align>
          </wp:positionH>
          <wp:positionV relativeFrom="paragraph">
            <wp:posOffset>0</wp:posOffset>
          </wp:positionV>
          <wp:extent cx="7761600" cy="1447605"/>
          <wp:effectExtent l="0" t="0" r="0" b="635"/>
          <wp:wrapTopAndBottom/>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61600" cy="1447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43F8A"/>
    <w:multiLevelType w:val="hybridMultilevel"/>
    <w:tmpl w:val="D32AB35A"/>
    <w:lvl w:ilvl="0" w:tplc="35CE8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B7700E"/>
    <w:multiLevelType w:val="hybridMultilevel"/>
    <w:tmpl w:val="57F0023E"/>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 w15:restartNumberingAfterBreak="0">
    <w:nsid w:val="550A3B5A"/>
    <w:multiLevelType w:val="hybridMultilevel"/>
    <w:tmpl w:val="77626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BB1D06"/>
    <w:multiLevelType w:val="hybridMultilevel"/>
    <w:tmpl w:val="6246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AE644F"/>
    <w:multiLevelType w:val="hybridMultilevel"/>
    <w:tmpl w:val="D9309122"/>
    <w:lvl w:ilvl="0" w:tplc="73C6D4E2">
      <w:start w:val="1"/>
      <w:numFmt w:val="bullet"/>
      <w:lvlText w:val="-"/>
      <w:lvlJc w:val="left"/>
      <w:pPr>
        <w:ind w:left="720" w:hanging="360"/>
      </w:pPr>
      <w:rPr>
        <w:rFonts w:ascii="Cambria" w:eastAsia="Times New Roman" w:hAnsi="Cambria" w:cs="Arial" w:hint="default"/>
      </w:rPr>
    </w:lvl>
    <w:lvl w:ilvl="1" w:tplc="28E2BA02">
      <w:start w:val="4"/>
      <w:numFmt w:val="bullet"/>
      <w:lvlText w:val="•"/>
      <w:lvlJc w:val="left"/>
      <w:pPr>
        <w:ind w:left="1440" w:hanging="360"/>
      </w:pPr>
      <w:rPr>
        <w:rFonts w:ascii="Cambria" w:eastAsiaTheme="minorHAnsi"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AF0510"/>
    <w:multiLevelType w:val="hybridMultilevel"/>
    <w:tmpl w:val="B7E2D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742E27"/>
    <w:multiLevelType w:val="hybridMultilevel"/>
    <w:tmpl w:val="BBA4F5A6"/>
    <w:lvl w:ilvl="0" w:tplc="368AAF7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2D6528C"/>
    <w:multiLevelType w:val="hybridMultilevel"/>
    <w:tmpl w:val="71DC9940"/>
    <w:lvl w:ilvl="0" w:tplc="1FAAFE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8C3D7B"/>
    <w:multiLevelType w:val="hybridMultilevel"/>
    <w:tmpl w:val="AD623BC4"/>
    <w:lvl w:ilvl="0" w:tplc="A6A22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094BA2"/>
    <w:multiLevelType w:val="hybridMultilevel"/>
    <w:tmpl w:val="464896CE"/>
    <w:lvl w:ilvl="0" w:tplc="65E23002">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6"/>
  </w:num>
  <w:num w:numId="4">
    <w:abstractNumId w:val="3"/>
  </w:num>
  <w:num w:numId="5">
    <w:abstractNumId w:val="0"/>
  </w:num>
  <w:num w:numId="6">
    <w:abstractNumId w:val="4"/>
  </w:num>
  <w:num w:numId="7">
    <w:abstractNumId w:val="8"/>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0sDQ2NTG0sDA3NDBU0lEKTi0uzszPAykwrAUAZNYltSwAAAA="/>
  </w:docVars>
  <w:rsids>
    <w:rsidRoot w:val="00C00CFF"/>
    <w:rsid w:val="000C6BFF"/>
    <w:rsid w:val="00110EEB"/>
    <w:rsid w:val="00252E51"/>
    <w:rsid w:val="003C4CAB"/>
    <w:rsid w:val="0046108A"/>
    <w:rsid w:val="00494175"/>
    <w:rsid w:val="005657FD"/>
    <w:rsid w:val="007460C9"/>
    <w:rsid w:val="007D65AC"/>
    <w:rsid w:val="00805755"/>
    <w:rsid w:val="00823B11"/>
    <w:rsid w:val="0092080A"/>
    <w:rsid w:val="00AC5AB6"/>
    <w:rsid w:val="00B22357"/>
    <w:rsid w:val="00BA3062"/>
    <w:rsid w:val="00C00CFF"/>
    <w:rsid w:val="00C00D3D"/>
    <w:rsid w:val="00C3210E"/>
    <w:rsid w:val="00C35D02"/>
    <w:rsid w:val="00C646CE"/>
    <w:rsid w:val="00D751C6"/>
    <w:rsid w:val="00E25ADC"/>
    <w:rsid w:val="00FF5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357A6"/>
  <w15:chartTrackingRefBased/>
  <w15:docId w15:val="{8DEEDF1F-6555-4A1C-884B-C9357ED5B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B11"/>
    <w:pPr>
      <w:ind w:left="720"/>
      <w:contextualSpacing/>
    </w:pPr>
  </w:style>
  <w:style w:type="paragraph" w:styleId="NormalWeb">
    <w:name w:val="Normal (Web)"/>
    <w:basedOn w:val="Normal"/>
    <w:uiPriority w:val="99"/>
    <w:semiHidden/>
    <w:unhideWhenUsed/>
    <w:rsid w:val="00823B1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25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ADC"/>
  </w:style>
  <w:style w:type="paragraph" w:styleId="Footer">
    <w:name w:val="footer"/>
    <w:basedOn w:val="Normal"/>
    <w:link w:val="FooterChar"/>
    <w:uiPriority w:val="99"/>
    <w:unhideWhenUsed/>
    <w:rsid w:val="00E25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ADC"/>
  </w:style>
  <w:style w:type="character" w:styleId="Hyperlink">
    <w:name w:val="Hyperlink"/>
    <w:uiPriority w:val="99"/>
    <w:unhideWhenUsed/>
    <w:rsid w:val="00E25A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68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745</TotalTime>
  <Pages>4</Pages>
  <Words>1125</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 LIEN</dc:creator>
  <cp:keywords/>
  <dc:description/>
  <cp:lastModifiedBy>Tran Nhat Nghi</cp:lastModifiedBy>
  <cp:revision>16</cp:revision>
  <dcterms:created xsi:type="dcterms:W3CDTF">2021-08-19T16:16:00Z</dcterms:created>
  <dcterms:modified xsi:type="dcterms:W3CDTF">2021-08-30T02:25:00Z</dcterms:modified>
</cp:coreProperties>
</file>