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29C4DC7" w14:textId="353103A1" w:rsidR="00277B45" w:rsidRDefault="00277B45" w:rsidP="0058423A">
      <w:pPr>
        <w:spacing w:after="0" w:line="252" w:lineRule="auto"/>
        <w:contextualSpacing/>
        <w:jc w:val="center"/>
        <w:rPr>
          <w:rFonts w:ascii="Cambria" w:hAnsi="Cambria"/>
          <w:b/>
          <w:bCs/>
        </w:rPr>
      </w:pPr>
      <w:r w:rsidRPr="00277B45">
        <w:rPr>
          <w:rFonts w:ascii="Cambria" w:hAnsi="Cambria"/>
          <w:b/>
          <w:bCs/>
        </w:rPr>
        <w:t xml:space="preserve">COMPARISON BETWEEN </w:t>
      </w:r>
      <w:r w:rsidR="00AF727C">
        <w:rPr>
          <w:rFonts w:ascii="Cambria" w:hAnsi="Cambria"/>
          <w:b/>
          <w:bCs/>
        </w:rPr>
        <w:t>INSTITUTION</w:t>
      </w:r>
      <w:r w:rsidRPr="00277B45">
        <w:rPr>
          <w:rFonts w:ascii="Cambria" w:hAnsi="Cambria"/>
          <w:b/>
          <w:bCs/>
        </w:rPr>
        <w:t xml:space="preserve">AL ARBITRATION AND </w:t>
      </w:r>
      <w:r w:rsidR="00AF727C">
        <w:rPr>
          <w:rFonts w:ascii="Cambria" w:hAnsi="Cambria"/>
          <w:b/>
          <w:bCs/>
        </w:rPr>
        <w:t xml:space="preserve">AD HOC </w:t>
      </w:r>
      <w:r w:rsidRPr="00277B45">
        <w:rPr>
          <w:rFonts w:ascii="Cambria" w:hAnsi="Cambria"/>
          <w:b/>
          <w:bCs/>
        </w:rPr>
        <w:t>ARBITRATION</w:t>
      </w:r>
    </w:p>
    <w:p w14:paraId="346519B8" w14:textId="77777777" w:rsidR="0058423A" w:rsidRPr="00277B45" w:rsidRDefault="0058423A" w:rsidP="0058423A">
      <w:pPr>
        <w:spacing w:after="0" w:line="252" w:lineRule="auto"/>
        <w:contextualSpacing/>
        <w:jc w:val="center"/>
        <w:rPr>
          <w:rFonts w:ascii="Cambria" w:hAnsi="Cambria"/>
          <w:b/>
          <w:bCs/>
        </w:rPr>
      </w:pPr>
    </w:p>
    <w:p w14:paraId="04CB4E18" w14:textId="259886B4" w:rsidR="00277B45" w:rsidRDefault="00277B45" w:rsidP="0058423A">
      <w:pPr>
        <w:spacing w:after="0" w:line="252" w:lineRule="auto"/>
        <w:contextualSpacing/>
        <w:jc w:val="both"/>
        <w:rPr>
          <w:rFonts w:ascii="Cambria" w:hAnsi="Cambria"/>
          <w:b/>
          <w:bCs/>
          <w:i/>
          <w:iCs/>
        </w:rPr>
      </w:pPr>
      <w:r w:rsidRPr="00277B45">
        <w:rPr>
          <w:rFonts w:ascii="Cambria" w:hAnsi="Cambria"/>
          <w:b/>
          <w:bCs/>
          <w:i/>
          <w:iCs/>
        </w:rPr>
        <w:t xml:space="preserve">Legal </w:t>
      </w:r>
      <w:r w:rsidR="0058423A">
        <w:rPr>
          <w:rFonts w:ascii="Cambria" w:hAnsi="Cambria"/>
          <w:b/>
          <w:bCs/>
          <w:i/>
          <w:iCs/>
        </w:rPr>
        <w:t>basis</w:t>
      </w:r>
      <w:r w:rsidRPr="00277B45">
        <w:rPr>
          <w:rFonts w:ascii="Cambria" w:hAnsi="Cambria"/>
          <w:b/>
          <w:bCs/>
          <w:i/>
          <w:iCs/>
        </w:rPr>
        <w:t>:</w:t>
      </w:r>
    </w:p>
    <w:p w14:paraId="67747F94" w14:textId="77777777" w:rsidR="0058423A" w:rsidRPr="00277B45" w:rsidRDefault="0058423A" w:rsidP="0058423A">
      <w:pPr>
        <w:spacing w:after="0" w:line="252" w:lineRule="auto"/>
        <w:contextualSpacing/>
        <w:jc w:val="both"/>
        <w:rPr>
          <w:rFonts w:ascii="Cambria" w:hAnsi="Cambria"/>
          <w:b/>
          <w:bCs/>
          <w:i/>
          <w:iCs/>
        </w:rPr>
      </w:pPr>
    </w:p>
    <w:p w14:paraId="2F63B206" w14:textId="2BAE799B" w:rsidR="009669CE" w:rsidRDefault="00277B45" w:rsidP="0058423A">
      <w:pPr>
        <w:spacing w:after="0" w:line="252" w:lineRule="auto"/>
        <w:contextualSpacing/>
        <w:jc w:val="both"/>
        <w:rPr>
          <w:rFonts w:ascii="Cambria" w:hAnsi="Cambria"/>
          <w:i/>
          <w:iCs/>
        </w:rPr>
      </w:pPr>
      <w:r w:rsidRPr="00277B45">
        <w:rPr>
          <w:rFonts w:ascii="Cambria" w:hAnsi="Cambria"/>
          <w:i/>
          <w:iCs/>
        </w:rPr>
        <w:t>Law on Commercial Arbitration 2010</w:t>
      </w:r>
      <w:r w:rsidR="0058423A">
        <w:rPr>
          <w:rFonts w:ascii="Cambria" w:hAnsi="Cambria"/>
          <w:i/>
          <w:iCs/>
        </w:rPr>
        <w:t>.</w:t>
      </w:r>
    </w:p>
    <w:p w14:paraId="5F7BF55D" w14:textId="77777777" w:rsidR="0058423A" w:rsidRDefault="0058423A" w:rsidP="0058423A">
      <w:pPr>
        <w:spacing w:after="0" w:line="252" w:lineRule="auto"/>
        <w:contextualSpacing/>
        <w:jc w:val="both"/>
        <w:rPr>
          <w:rFonts w:ascii="Cambria" w:hAnsi="Cambria"/>
          <w:i/>
          <w:iCs/>
        </w:rPr>
      </w:pPr>
    </w:p>
    <w:p w14:paraId="5427F033" w14:textId="2D8B505B" w:rsidR="00277B45" w:rsidRPr="006A104B" w:rsidRDefault="00266FC1" w:rsidP="006A104B">
      <w:pPr>
        <w:pStyle w:val="ListParagraph"/>
        <w:numPr>
          <w:ilvl w:val="0"/>
          <w:numId w:val="11"/>
        </w:numPr>
        <w:spacing w:after="0" w:line="252" w:lineRule="auto"/>
        <w:ind w:left="907" w:hanging="900"/>
        <w:jc w:val="both"/>
        <w:rPr>
          <w:rFonts w:ascii="Cambria" w:hAnsi="Cambria"/>
          <w:i/>
          <w:iCs/>
        </w:rPr>
      </w:pPr>
      <w:r w:rsidRPr="009669CE">
        <w:rPr>
          <w:rFonts w:ascii="Cambria" w:hAnsi="Cambria"/>
          <w:b/>
          <w:bCs/>
        </w:rPr>
        <w:t>C</w:t>
      </w:r>
      <w:r w:rsidR="00277B45" w:rsidRPr="009669CE">
        <w:rPr>
          <w:rFonts w:ascii="Cambria" w:hAnsi="Cambria"/>
          <w:b/>
          <w:bCs/>
        </w:rPr>
        <w:t xml:space="preserve">oncept of </w:t>
      </w:r>
      <w:r w:rsidR="00AF727C" w:rsidRPr="009669CE">
        <w:rPr>
          <w:rFonts w:ascii="Cambria" w:hAnsi="Cambria"/>
          <w:b/>
          <w:bCs/>
        </w:rPr>
        <w:t xml:space="preserve">institutional </w:t>
      </w:r>
      <w:r w:rsidR="00277B45" w:rsidRPr="009669CE">
        <w:rPr>
          <w:rFonts w:ascii="Cambria" w:hAnsi="Cambria"/>
          <w:b/>
          <w:bCs/>
        </w:rPr>
        <w:t>arbitration and ad hoc arbitration</w:t>
      </w:r>
    </w:p>
    <w:p w14:paraId="54968F38" w14:textId="77777777" w:rsidR="006A104B" w:rsidRPr="009669CE" w:rsidRDefault="006A104B" w:rsidP="006A104B">
      <w:pPr>
        <w:pStyle w:val="ListParagraph"/>
        <w:spacing w:after="0" w:line="252" w:lineRule="auto"/>
        <w:ind w:left="907"/>
        <w:jc w:val="both"/>
        <w:rPr>
          <w:rFonts w:ascii="Cambria" w:hAnsi="Cambria"/>
          <w:i/>
          <w:iCs/>
        </w:rPr>
      </w:pPr>
    </w:p>
    <w:p w14:paraId="1D3C0D45" w14:textId="0422AFEF" w:rsidR="00277B45" w:rsidRDefault="00266FC1" w:rsidP="006A104B">
      <w:pPr>
        <w:spacing w:after="0" w:line="252" w:lineRule="auto"/>
        <w:ind w:left="907"/>
        <w:contextualSpacing/>
        <w:jc w:val="both"/>
        <w:rPr>
          <w:rFonts w:ascii="Cambria" w:hAnsi="Cambria"/>
        </w:rPr>
      </w:pPr>
      <w:r>
        <w:rPr>
          <w:rFonts w:ascii="Cambria" w:hAnsi="Cambria"/>
        </w:rPr>
        <w:t>Institu</w:t>
      </w:r>
      <w:r w:rsidR="00277B45" w:rsidRPr="00277B45">
        <w:rPr>
          <w:rFonts w:ascii="Cambria" w:hAnsi="Cambria"/>
        </w:rPr>
        <w:t>tion</w:t>
      </w:r>
      <w:r>
        <w:rPr>
          <w:rFonts w:ascii="Cambria" w:hAnsi="Cambria"/>
        </w:rPr>
        <w:t>al</w:t>
      </w:r>
      <w:r w:rsidR="00277B45" w:rsidRPr="00277B45">
        <w:rPr>
          <w:rFonts w:ascii="Cambria" w:hAnsi="Cambria"/>
        </w:rPr>
        <w:t xml:space="preserve"> arbitration is a form of dispute resolution </w:t>
      </w:r>
      <w:r>
        <w:rPr>
          <w:rFonts w:ascii="Cambria" w:hAnsi="Cambria"/>
        </w:rPr>
        <w:t>in</w:t>
      </w:r>
      <w:r w:rsidR="00277B45" w:rsidRPr="00277B45">
        <w:rPr>
          <w:rFonts w:ascii="Cambria" w:hAnsi="Cambria"/>
        </w:rPr>
        <w:t xml:space="preserve"> an arbitration center </w:t>
      </w:r>
      <w:r w:rsidR="00933AA3">
        <w:rPr>
          <w:rFonts w:ascii="Cambria" w:hAnsi="Cambria"/>
        </w:rPr>
        <w:t xml:space="preserve">under </w:t>
      </w:r>
      <w:r w:rsidR="00277B45" w:rsidRPr="00277B45">
        <w:rPr>
          <w:rFonts w:ascii="Cambria" w:hAnsi="Cambria"/>
        </w:rPr>
        <w:t>Law on Commercial Arbitration</w:t>
      </w:r>
      <w:r w:rsidR="0038409E">
        <w:rPr>
          <w:rFonts w:ascii="Cambria" w:hAnsi="Cambria"/>
        </w:rPr>
        <w:t xml:space="preserve"> 2010</w:t>
      </w:r>
      <w:r w:rsidR="00277B45" w:rsidRPr="00277B45">
        <w:rPr>
          <w:rFonts w:ascii="Cambria" w:hAnsi="Cambria"/>
        </w:rPr>
        <w:t xml:space="preserve"> and the </w:t>
      </w:r>
      <w:r w:rsidR="0038409E">
        <w:rPr>
          <w:rFonts w:ascii="Cambria" w:hAnsi="Cambria"/>
        </w:rPr>
        <w:t>arbitral R</w:t>
      </w:r>
      <w:r w:rsidR="00277B45" w:rsidRPr="00277B45">
        <w:rPr>
          <w:rFonts w:ascii="Cambria" w:hAnsi="Cambria"/>
        </w:rPr>
        <w:t>ules of that arbitration center.</w:t>
      </w:r>
    </w:p>
    <w:p w14:paraId="1203E235" w14:textId="77777777" w:rsidR="006A104B" w:rsidRPr="00277B45" w:rsidRDefault="006A104B" w:rsidP="006A104B">
      <w:pPr>
        <w:spacing w:after="0" w:line="252" w:lineRule="auto"/>
        <w:ind w:left="907"/>
        <w:contextualSpacing/>
        <w:jc w:val="both"/>
        <w:rPr>
          <w:rFonts w:ascii="Cambria" w:hAnsi="Cambria"/>
        </w:rPr>
      </w:pPr>
    </w:p>
    <w:p w14:paraId="5C1A2D64" w14:textId="41C413B4" w:rsidR="00277B45" w:rsidRDefault="00277B45" w:rsidP="006A104B">
      <w:pPr>
        <w:spacing w:after="0" w:line="252" w:lineRule="auto"/>
        <w:ind w:left="907"/>
        <w:contextualSpacing/>
        <w:jc w:val="both"/>
        <w:rPr>
          <w:rFonts w:ascii="Cambria" w:hAnsi="Cambria"/>
        </w:rPr>
      </w:pPr>
      <w:r w:rsidRPr="00277B45">
        <w:rPr>
          <w:rFonts w:ascii="Cambria" w:hAnsi="Cambria"/>
        </w:rPr>
        <w:t xml:space="preserve">Ad hoc arbitration is a form of dispute settlement </w:t>
      </w:r>
      <w:r w:rsidR="00933AA3">
        <w:rPr>
          <w:rFonts w:ascii="Cambria" w:hAnsi="Cambria"/>
        </w:rPr>
        <w:t xml:space="preserve">under </w:t>
      </w:r>
      <w:r w:rsidRPr="00277B45">
        <w:rPr>
          <w:rFonts w:ascii="Cambria" w:hAnsi="Cambria"/>
        </w:rPr>
        <w:t>Law on Commercial Arbitration and the order and procedures agreed upon by the parties.</w:t>
      </w:r>
    </w:p>
    <w:p w14:paraId="251D2421" w14:textId="77777777" w:rsidR="006A104B" w:rsidRPr="00277B45" w:rsidRDefault="006A104B" w:rsidP="006A104B">
      <w:pPr>
        <w:spacing w:after="0" w:line="252" w:lineRule="auto"/>
        <w:ind w:left="907"/>
        <w:contextualSpacing/>
        <w:jc w:val="both"/>
        <w:rPr>
          <w:rFonts w:ascii="Cambria" w:hAnsi="Cambria"/>
        </w:rPr>
      </w:pPr>
    </w:p>
    <w:p w14:paraId="4C0DDE0D" w14:textId="69FFD928" w:rsidR="00277B45" w:rsidRDefault="00277B45" w:rsidP="006A104B">
      <w:pPr>
        <w:pStyle w:val="ListParagraph"/>
        <w:numPr>
          <w:ilvl w:val="0"/>
          <w:numId w:val="11"/>
        </w:numPr>
        <w:spacing w:after="0" w:line="252" w:lineRule="auto"/>
        <w:ind w:left="907" w:hanging="900"/>
        <w:jc w:val="both"/>
        <w:rPr>
          <w:rFonts w:ascii="Cambria" w:hAnsi="Cambria"/>
          <w:b/>
          <w:bCs/>
        </w:rPr>
      </w:pPr>
      <w:r w:rsidRPr="009669CE">
        <w:rPr>
          <w:rFonts w:ascii="Cambria" w:hAnsi="Cambria"/>
          <w:b/>
          <w:bCs/>
        </w:rPr>
        <w:t xml:space="preserve">Difference between </w:t>
      </w:r>
      <w:r w:rsidR="00266FC1" w:rsidRPr="009669CE">
        <w:rPr>
          <w:rFonts w:ascii="Cambria" w:hAnsi="Cambria"/>
          <w:b/>
          <w:bCs/>
        </w:rPr>
        <w:t>institutional</w:t>
      </w:r>
      <w:r w:rsidRPr="009669CE">
        <w:rPr>
          <w:rFonts w:ascii="Cambria" w:hAnsi="Cambria"/>
          <w:b/>
          <w:bCs/>
        </w:rPr>
        <w:t xml:space="preserve"> arbitration and ad hoc arbitration</w:t>
      </w:r>
    </w:p>
    <w:p w14:paraId="173AC533" w14:textId="77777777" w:rsidR="006A104B" w:rsidRPr="009669CE" w:rsidRDefault="006A104B" w:rsidP="006A104B">
      <w:pPr>
        <w:pStyle w:val="ListParagraph"/>
        <w:spacing w:after="0" w:line="252" w:lineRule="auto"/>
        <w:ind w:left="907"/>
        <w:jc w:val="both"/>
        <w:rPr>
          <w:rFonts w:ascii="Cambria" w:hAnsi="Cambria"/>
          <w:b/>
          <w:bCs/>
        </w:rPr>
      </w:pPr>
    </w:p>
    <w:p w14:paraId="291439F6" w14:textId="1A34BCDB" w:rsidR="00D35B10" w:rsidRDefault="00277B45" w:rsidP="006A104B">
      <w:pPr>
        <w:spacing w:after="0" w:line="252" w:lineRule="auto"/>
        <w:ind w:left="907"/>
        <w:contextualSpacing/>
        <w:jc w:val="both"/>
        <w:rPr>
          <w:rFonts w:ascii="Cambria" w:hAnsi="Cambria"/>
        </w:rPr>
      </w:pPr>
      <w:r w:rsidRPr="00277B45">
        <w:rPr>
          <w:rFonts w:ascii="Cambria" w:hAnsi="Cambria"/>
        </w:rPr>
        <w:t xml:space="preserve">Regulation arbitration and ad hoc arbitration have some </w:t>
      </w:r>
      <w:r w:rsidR="0038409E">
        <w:rPr>
          <w:rFonts w:ascii="Cambria" w:hAnsi="Cambria"/>
        </w:rPr>
        <w:t>main</w:t>
      </w:r>
      <w:r w:rsidRPr="00277B45">
        <w:rPr>
          <w:rFonts w:ascii="Cambria" w:hAnsi="Cambria"/>
        </w:rPr>
        <w:t xml:space="preserve"> differences as follows:</w:t>
      </w:r>
    </w:p>
    <w:p w14:paraId="153E58B3" w14:textId="77777777" w:rsidR="006A104B" w:rsidRDefault="006A104B" w:rsidP="006A104B">
      <w:pPr>
        <w:spacing w:after="0" w:line="252" w:lineRule="auto"/>
        <w:ind w:left="907"/>
        <w:contextualSpacing/>
        <w:jc w:val="both"/>
        <w:rPr>
          <w:rFonts w:ascii="Cambria" w:hAnsi="Cambria"/>
        </w:rPr>
      </w:pPr>
    </w:p>
    <w:tbl>
      <w:tblPr>
        <w:tblStyle w:val="TableGrid"/>
        <w:tblW w:w="0" w:type="auto"/>
        <w:tblInd w:w="895" w:type="dxa"/>
        <w:tblLook w:val="04A0" w:firstRow="1" w:lastRow="0" w:firstColumn="1" w:lastColumn="0" w:noHBand="0" w:noVBand="1"/>
      </w:tblPr>
      <w:tblGrid>
        <w:gridCol w:w="1620"/>
        <w:gridCol w:w="3330"/>
        <w:gridCol w:w="3833"/>
      </w:tblGrid>
      <w:tr w:rsidR="00266FC1" w14:paraId="283D5750" w14:textId="77777777" w:rsidTr="009669CE">
        <w:tc>
          <w:tcPr>
            <w:tcW w:w="1620" w:type="dxa"/>
          </w:tcPr>
          <w:p w14:paraId="4A3CD130" w14:textId="20C02F5A" w:rsidR="00266FC1" w:rsidRPr="009669CE" w:rsidRDefault="00266FC1" w:rsidP="009669CE">
            <w:pPr>
              <w:jc w:val="center"/>
              <w:rPr>
                <w:rFonts w:ascii="Cambria" w:hAnsi="Cambria"/>
                <w:b/>
                <w:bCs/>
              </w:rPr>
            </w:pPr>
            <w:r w:rsidRPr="009669CE">
              <w:rPr>
                <w:rFonts w:ascii="Cambria" w:hAnsi="Cambria"/>
                <w:b/>
                <w:bCs/>
              </w:rPr>
              <w:t>Criteria</w:t>
            </w:r>
          </w:p>
        </w:tc>
        <w:tc>
          <w:tcPr>
            <w:tcW w:w="3330" w:type="dxa"/>
          </w:tcPr>
          <w:p w14:paraId="1A31FDF9" w14:textId="11FE1373" w:rsidR="00266FC1" w:rsidRPr="009669CE" w:rsidRDefault="00266FC1" w:rsidP="009669CE">
            <w:pPr>
              <w:jc w:val="center"/>
              <w:rPr>
                <w:rFonts w:ascii="Cambria" w:hAnsi="Cambria"/>
                <w:b/>
                <w:bCs/>
              </w:rPr>
            </w:pPr>
            <w:r w:rsidRPr="009669CE">
              <w:rPr>
                <w:rFonts w:ascii="Cambria" w:hAnsi="Cambria"/>
                <w:b/>
                <w:bCs/>
              </w:rPr>
              <w:t>Institutional Arbitration</w:t>
            </w:r>
          </w:p>
        </w:tc>
        <w:tc>
          <w:tcPr>
            <w:tcW w:w="3833" w:type="dxa"/>
          </w:tcPr>
          <w:p w14:paraId="49D51D4A" w14:textId="77777777" w:rsidR="00266FC1" w:rsidRPr="009669CE" w:rsidRDefault="00266FC1" w:rsidP="009669CE">
            <w:pPr>
              <w:jc w:val="center"/>
              <w:rPr>
                <w:rFonts w:ascii="Cambria" w:hAnsi="Cambria"/>
                <w:b/>
                <w:bCs/>
              </w:rPr>
            </w:pPr>
            <w:r w:rsidRPr="009669CE">
              <w:rPr>
                <w:rFonts w:ascii="Cambria" w:hAnsi="Cambria"/>
                <w:b/>
                <w:bCs/>
              </w:rPr>
              <w:t xml:space="preserve">Ad hoc </w:t>
            </w:r>
            <w:r w:rsidR="009669CE" w:rsidRPr="009669CE">
              <w:rPr>
                <w:rFonts w:ascii="Cambria" w:hAnsi="Cambria"/>
                <w:b/>
                <w:bCs/>
              </w:rPr>
              <w:t>Arbitration</w:t>
            </w:r>
          </w:p>
          <w:p w14:paraId="0AE903A4" w14:textId="0BC2C390" w:rsidR="009669CE" w:rsidRPr="009669CE" w:rsidRDefault="009669CE" w:rsidP="009669CE">
            <w:pPr>
              <w:jc w:val="center"/>
              <w:rPr>
                <w:rFonts w:ascii="Cambria" w:hAnsi="Cambria"/>
                <w:b/>
                <w:bCs/>
              </w:rPr>
            </w:pPr>
          </w:p>
        </w:tc>
      </w:tr>
      <w:tr w:rsidR="00266FC1" w14:paraId="6F7A02EA" w14:textId="77777777" w:rsidTr="009669CE">
        <w:tc>
          <w:tcPr>
            <w:tcW w:w="1620" w:type="dxa"/>
          </w:tcPr>
          <w:p w14:paraId="544B5C65" w14:textId="2BB26A0D" w:rsidR="00266FC1" w:rsidRDefault="00266FC1" w:rsidP="00277B45">
            <w:pPr>
              <w:jc w:val="both"/>
              <w:rPr>
                <w:rFonts w:ascii="Cambria" w:hAnsi="Cambria"/>
              </w:rPr>
            </w:pPr>
            <w:r>
              <w:rPr>
                <w:rFonts w:ascii="Cambria" w:hAnsi="Cambria"/>
              </w:rPr>
              <w:t>Nature</w:t>
            </w:r>
          </w:p>
        </w:tc>
        <w:tc>
          <w:tcPr>
            <w:tcW w:w="3330" w:type="dxa"/>
          </w:tcPr>
          <w:p w14:paraId="6A2481B4" w14:textId="5A8C12FD" w:rsidR="00266FC1" w:rsidRDefault="00E05031" w:rsidP="009669CE">
            <w:pPr>
              <w:jc w:val="both"/>
              <w:rPr>
                <w:rFonts w:ascii="Cambria" w:hAnsi="Cambria"/>
              </w:rPr>
            </w:pPr>
            <w:r>
              <w:rPr>
                <w:rFonts w:ascii="Cambria" w:hAnsi="Cambria"/>
              </w:rPr>
              <w:t>They are n</w:t>
            </w:r>
            <w:r w:rsidRPr="00E05031">
              <w:rPr>
                <w:rFonts w:ascii="Cambria" w:hAnsi="Cambria"/>
              </w:rPr>
              <w:t>on-governmental arbitration organization</w:t>
            </w:r>
            <w:r>
              <w:rPr>
                <w:rFonts w:ascii="Cambria" w:hAnsi="Cambria"/>
              </w:rPr>
              <w:t>s</w:t>
            </w:r>
            <w:r w:rsidRPr="00E05031">
              <w:rPr>
                <w:rFonts w:ascii="Cambria" w:hAnsi="Cambria"/>
              </w:rPr>
              <w:t>, usually soci</w:t>
            </w:r>
            <w:r>
              <w:rPr>
                <w:rFonts w:ascii="Cambria" w:hAnsi="Cambria"/>
              </w:rPr>
              <w:t xml:space="preserve">al </w:t>
            </w:r>
            <w:r w:rsidRPr="00E05031">
              <w:rPr>
                <w:rFonts w:ascii="Cambria" w:hAnsi="Cambria"/>
              </w:rPr>
              <w:t>professional organizations with the function of resolving commercial disputes.</w:t>
            </w:r>
          </w:p>
        </w:tc>
        <w:tc>
          <w:tcPr>
            <w:tcW w:w="3833" w:type="dxa"/>
          </w:tcPr>
          <w:p w14:paraId="5DEC617D" w14:textId="035DCE60" w:rsidR="00266FC1" w:rsidRDefault="00E05031" w:rsidP="009669CE">
            <w:pPr>
              <w:jc w:val="both"/>
              <w:rPr>
                <w:rFonts w:ascii="Cambria" w:hAnsi="Cambria"/>
              </w:rPr>
            </w:pPr>
            <w:r>
              <w:rPr>
                <w:rFonts w:ascii="Cambria" w:hAnsi="Cambria"/>
              </w:rPr>
              <w:t>They are n</w:t>
            </w:r>
            <w:r w:rsidRPr="00E05031">
              <w:rPr>
                <w:rFonts w:ascii="Cambria" w:hAnsi="Cambria"/>
              </w:rPr>
              <w:t xml:space="preserve">ot a regular organization for dispute resolution but </w:t>
            </w:r>
            <w:r w:rsidR="003174FD">
              <w:rPr>
                <w:rFonts w:ascii="Cambria" w:hAnsi="Cambria"/>
              </w:rPr>
              <w:t xml:space="preserve">are </w:t>
            </w:r>
            <w:r w:rsidRPr="00E05031">
              <w:rPr>
                <w:rFonts w:ascii="Cambria" w:hAnsi="Cambria"/>
              </w:rPr>
              <w:t xml:space="preserve">only established by agreement of the parties to resolve a specific dispute and the arbitration will cease </w:t>
            </w:r>
            <w:proofErr w:type="gramStart"/>
            <w:r w:rsidR="0038409E">
              <w:rPr>
                <w:rFonts w:ascii="Cambria" w:hAnsi="Cambria"/>
              </w:rPr>
              <w:t xml:space="preserve">its </w:t>
            </w:r>
            <w:r w:rsidRPr="00E05031">
              <w:rPr>
                <w:rFonts w:ascii="Cambria" w:hAnsi="Cambria"/>
              </w:rPr>
              <w:t xml:space="preserve"> operat</w:t>
            </w:r>
            <w:r w:rsidR="0038409E">
              <w:rPr>
                <w:rFonts w:ascii="Cambria" w:hAnsi="Cambria"/>
              </w:rPr>
              <w:t>ion</w:t>
            </w:r>
            <w:proofErr w:type="gramEnd"/>
            <w:r w:rsidRPr="00E05031">
              <w:rPr>
                <w:rFonts w:ascii="Cambria" w:hAnsi="Cambria"/>
              </w:rPr>
              <w:t xml:space="preserve"> after the settlement of the case is completed. </w:t>
            </w:r>
          </w:p>
          <w:p w14:paraId="1590CFA1" w14:textId="731A95A9" w:rsidR="009669CE" w:rsidRDefault="009669CE" w:rsidP="009669CE">
            <w:pPr>
              <w:jc w:val="both"/>
              <w:rPr>
                <w:rFonts w:ascii="Cambria" w:hAnsi="Cambria"/>
              </w:rPr>
            </w:pPr>
          </w:p>
        </w:tc>
      </w:tr>
      <w:tr w:rsidR="00266FC1" w14:paraId="5833F16C" w14:textId="77777777" w:rsidTr="009669CE">
        <w:tc>
          <w:tcPr>
            <w:tcW w:w="1620" w:type="dxa"/>
          </w:tcPr>
          <w:p w14:paraId="36CECA63" w14:textId="112B87C9" w:rsidR="00266FC1" w:rsidRDefault="00266FC1" w:rsidP="00277B45">
            <w:pPr>
              <w:jc w:val="both"/>
              <w:rPr>
                <w:rFonts w:ascii="Cambria" w:hAnsi="Cambria"/>
              </w:rPr>
            </w:pPr>
            <w:r>
              <w:rPr>
                <w:rFonts w:ascii="Cambria" w:hAnsi="Cambria"/>
              </w:rPr>
              <w:t>S</w:t>
            </w:r>
            <w:r w:rsidRPr="00266FC1">
              <w:rPr>
                <w:rFonts w:ascii="Cambria" w:hAnsi="Cambria"/>
              </w:rPr>
              <w:t xml:space="preserve">eparate </w:t>
            </w:r>
            <w:r w:rsidR="0038409E">
              <w:rPr>
                <w:rFonts w:ascii="Cambria" w:hAnsi="Cambria"/>
              </w:rPr>
              <w:t>R</w:t>
            </w:r>
            <w:r w:rsidRPr="00266FC1">
              <w:rPr>
                <w:rFonts w:ascii="Cambria" w:hAnsi="Cambria"/>
              </w:rPr>
              <w:t xml:space="preserve">ules of </w:t>
            </w:r>
            <w:r w:rsidR="0038409E">
              <w:rPr>
                <w:rFonts w:ascii="Cambria" w:hAnsi="Cambria"/>
              </w:rPr>
              <w:t>arbitration</w:t>
            </w:r>
          </w:p>
        </w:tc>
        <w:tc>
          <w:tcPr>
            <w:tcW w:w="3330" w:type="dxa"/>
          </w:tcPr>
          <w:p w14:paraId="363709B6" w14:textId="180F81D0" w:rsidR="00266FC1" w:rsidRDefault="003174FD" w:rsidP="009669CE">
            <w:pPr>
              <w:jc w:val="both"/>
              <w:rPr>
                <w:rFonts w:ascii="Cambria" w:hAnsi="Cambria"/>
              </w:rPr>
            </w:pPr>
            <w:r w:rsidRPr="003174FD">
              <w:rPr>
                <w:rFonts w:ascii="Cambria" w:hAnsi="Cambria"/>
              </w:rPr>
              <w:t>Having legal status, having its charter and procedural rules, having a list of arbitrators, and operating completely independently of each other.</w:t>
            </w:r>
          </w:p>
        </w:tc>
        <w:tc>
          <w:tcPr>
            <w:tcW w:w="3833" w:type="dxa"/>
          </w:tcPr>
          <w:p w14:paraId="518F52E8" w14:textId="4C2B2621" w:rsidR="00BA4D5B" w:rsidRPr="00BA4D5B" w:rsidRDefault="00BA4D5B" w:rsidP="00BA4D5B">
            <w:pPr>
              <w:jc w:val="both"/>
              <w:rPr>
                <w:rFonts w:ascii="Cambria" w:hAnsi="Cambria"/>
              </w:rPr>
            </w:pPr>
            <w:r w:rsidRPr="00BA4D5B">
              <w:rPr>
                <w:rFonts w:ascii="Cambria" w:hAnsi="Cambria"/>
              </w:rPr>
              <w:t xml:space="preserve">There </w:t>
            </w:r>
            <w:r w:rsidR="0038409E">
              <w:rPr>
                <w:rFonts w:ascii="Cambria" w:hAnsi="Cambria"/>
              </w:rPr>
              <w:t>are</w:t>
            </w:r>
            <w:r w:rsidRPr="00BA4D5B">
              <w:rPr>
                <w:rFonts w:ascii="Cambria" w:hAnsi="Cambria"/>
              </w:rPr>
              <w:t xml:space="preserve"> no </w:t>
            </w:r>
            <w:r w:rsidR="0038409E">
              <w:rPr>
                <w:rFonts w:ascii="Cambria" w:hAnsi="Cambria"/>
              </w:rPr>
              <w:t xml:space="preserve"> </w:t>
            </w:r>
            <w:r w:rsidR="0038409E" w:rsidRPr="00BA4D5B">
              <w:rPr>
                <w:rFonts w:ascii="Cambria" w:hAnsi="Cambria"/>
              </w:rPr>
              <w:t xml:space="preserve"> </w:t>
            </w:r>
            <w:r w:rsidR="006343D7">
              <w:rPr>
                <w:rFonts w:ascii="Cambria" w:hAnsi="Cambria"/>
              </w:rPr>
              <w:t xml:space="preserve">arbitration </w:t>
            </w:r>
            <w:r w:rsidR="0038409E">
              <w:rPr>
                <w:rFonts w:ascii="Cambria" w:hAnsi="Cambria"/>
              </w:rPr>
              <w:t>R</w:t>
            </w:r>
            <w:r w:rsidRPr="00BA4D5B">
              <w:rPr>
                <w:rFonts w:ascii="Cambria" w:hAnsi="Cambria"/>
              </w:rPr>
              <w:t>ule</w:t>
            </w:r>
            <w:r w:rsidR="0038409E">
              <w:rPr>
                <w:rFonts w:ascii="Cambria" w:hAnsi="Cambria"/>
              </w:rPr>
              <w:t>s</w:t>
            </w:r>
            <w:r w:rsidR="006343D7">
              <w:rPr>
                <w:rFonts w:ascii="Cambria" w:hAnsi="Cambria"/>
              </w:rPr>
              <w:t xml:space="preserve"> available</w:t>
            </w:r>
            <w:r w:rsidRPr="00BA4D5B">
              <w:rPr>
                <w:rFonts w:ascii="Cambria" w:hAnsi="Cambria"/>
              </w:rPr>
              <w:t xml:space="preserve">, so the parties to the dispute have to agree to develop </w:t>
            </w:r>
            <w:r w:rsidR="006343D7">
              <w:rPr>
                <w:rFonts w:ascii="Cambria" w:hAnsi="Cambria"/>
              </w:rPr>
              <w:t>R</w:t>
            </w:r>
            <w:r w:rsidRPr="00BA4D5B">
              <w:rPr>
                <w:rFonts w:ascii="Cambria" w:hAnsi="Cambria"/>
              </w:rPr>
              <w:t xml:space="preserve">ules </w:t>
            </w:r>
            <w:r w:rsidR="006343D7">
              <w:rPr>
                <w:rFonts w:ascii="Cambria" w:hAnsi="Cambria"/>
              </w:rPr>
              <w:t xml:space="preserve">of arbitration </w:t>
            </w:r>
            <w:r w:rsidRPr="00BA4D5B">
              <w:rPr>
                <w:rFonts w:ascii="Cambria" w:hAnsi="Cambria"/>
              </w:rPr>
              <w:t xml:space="preserve">to </w:t>
            </w:r>
            <w:proofErr w:type="gramStart"/>
            <w:r w:rsidRPr="00BA4D5B">
              <w:rPr>
                <w:rFonts w:ascii="Cambria" w:hAnsi="Cambria"/>
              </w:rPr>
              <w:t>resolve, or</w:t>
            </w:r>
            <w:proofErr w:type="gramEnd"/>
            <w:r w:rsidRPr="00BA4D5B">
              <w:rPr>
                <w:rFonts w:ascii="Cambria" w:hAnsi="Cambria"/>
              </w:rPr>
              <w:t xml:space="preserve"> choose the </w:t>
            </w:r>
            <w:r w:rsidR="006343D7">
              <w:rPr>
                <w:rFonts w:ascii="Cambria" w:hAnsi="Cambria"/>
              </w:rPr>
              <w:t>arbitration R</w:t>
            </w:r>
            <w:r w:rsidRPr="00BA4D5B">
              <w:rPr>
                <w:rFonts w:ascii="Cambria" w:hAnsi="Cambria"/>
              </w:rPr>
              <w:t>ules of any arbitration center; and a list of arbitrators is not available</w:t>
            </w:r>
            <w:r w:rsidR="006343D7">
              <w:rPr>
                <w:rFonts w:ascii="Cambria" w:hAnsi="Cambria"/>
              </w:rPr>
              <w:t>.</w:t>
            </w:r>
          </w:p>
          <w:p w14:paraId="026C7430" w14:textId="77777777" w:rsidR="00BA4D5B" w:rsidRPr="00BA4D5B" w:rsidRDefault="00BA4D5B" w:rsidP="00BA4D5B">
            <w:pPr>
              <w:jc w:val="both"/>
              <w:rPr>
                <w:rFonts w:ascii="Cambria" w:hAnsi="Cambria"/>
              </w:rPr>
            </w:pPr>
          </w:p>
          <w:p w14:paraId="6C2F03DA" w14:textId="77777777" w:rsidR="009669CE" w:rsidRDefault="00BA4D5B" w:rsidP="00BA4D5B">
            <w:pPr>
              <w:jc w:val="both"/>
              <w:rPr>
                <w:rFonts w:ascii="Cambria" w:hAnsi="Cambria"/>
              </w:rPr>
            </w:pPr>
            <w:r w:rsidRPr="00BA4D5B">
              <w:rPr>
                <w:rFonts w:ascii="Cambria" w:hAnsi="Cambria"/>
              </w:rPr>
              <w:t>Therefore, this is a form of arbitration where the self-determination rights of the parties are maximized. However, there are also certain difficulties in appointing an arbitrator if the respondent fails to cooperate, or the arbitrator selected by the disputing parties fails to choose a third arbitrator.</w:t>
            </w:r>
          </w:p>
          <w:p w14:paraId="787C6B79" w14:textId="6A3AC89C" w:rsidR="00BA4D5B" w:rsidRDefault="00BA4D5B" w:rsidP="00BA4D5B">
            <w:pPr>
              <w:jc w:val="both"/>
              <w:rPr>
                <w:rFonts w:ascii="Cambria" w:hAnsi="Cambria"/>
              </w:rPr>
            </w:pPr>
          </w:p>
        </w:tc>
      </w:tr>
      <w:tr w:rsidR="00266FC1" w14:paraId="343C64E3" w14:textId="77777777" w:rsidTr="009669CE">
        <w:tc>
          <w:tcPr>
            <w:tcW w:w="1620" w:type="dxa"/>
          </w:tcPr>
          <w:p w14:paraId="5BC1AECC" w14:textId="6A188FF3" w:rsidR="00266FC1" w:rsidRDefault="00266FC1" w:rsidP="00277B45">
            <w:pPr>
              <w:jc w:val="both"/>
              <w:rPr>
                <w:rFonts w:ascii="Cambria" w:hAnsi="Cambria"/>
              </w:rPr>
            </w:pPr>
            <w:r>
              <w:rPr>
                <w:rFonts w:ascii="Cambria" w:hAnsi="Cambria"/>
              </w:rPr>
              <w:lastRenderedPageBreak/>
              <w:t>Cost</w:t>
            </w:r>
          </w:p>
        </w:tc>
        <w:tc>
          <w:tcPr>
            <w:tcW w:w="3330" w:type="dxa"/>
          </w:tcPr>
          <w:p w14:paraId="305BBDE6" w14:textId="7EC81E47" w:rsidR="00266FC1" w:rsidRDefault="005D304E" w:rsidP="009669CE">
            <w:pPr>
              <w:jc w:val="both"/>
              <w:rPr>
                <w:rFonts w:ascii="Cambria" w:hAnsi="Cambria"/>
              </w:rPr>
            </w:pPr>
            <w:r w:rsidRPr="005D304E">
              <w:rPr>
                <w:rFonts w:ascii="Cambria" w:hAnsi="Cambria"/>
              </w:rPr>
              <w:t>Arbitration fees are often higher because this form of arbitration needs to maintain a regular operating system with administrative costs.</w:t>
            </w:r>
          </w:p>
        </w:tc>
        <w:tc>
          <w:tcPr>
            <w:tcW w:w="3833" w:type="dxa"/>
          </w:tcPr>
          <w:p w14:paraId="72059D81" w14:textId="1B385E55" w:rsidR="00266FC1" w:rsidRDefault="0048425B" w:rsidP="009669CE">
            <w:pPr>
              <w:jc w:val="both"/>
              <w:rPr>
                <w:rFonts w:ascii="Cambria" w:hAnsi="Cambria"/>
              </w:rPr>
            </w:pPr>
            <w:r>
              <w:rPr>
                <w:rFonts w:ascii="Cambria" w:hAnsi="Cambria"/>
              </w:rPr>
              <w:t>B</w:t>
            </w:r>
            <w:r w:rsidR="00507DAC" w:rsidRPr="00507DAC">
              <w:rPr>
                <w:rFonts w:ascii="Cambria" w:hAnsi="Cambria"/>
              </w:rPr>
              <w:t xml:space="preserve">e lower than </w:t>
            </w:r>
            <w:r w:rsidR="00507DAC">
              <w:rPr>
                <w:rFonts w:ascii="Cambria" w:hAnsi="Cambria"/>
              </w:rPr>
              <w:t>institutional</w:t>
            </w:r>
            <w:r w:rsidR="00507DAC" w:rsidRPr="00507DAC">
              <w:rPr>
                <w:rFonts w:ascii="Cambria" w:hAnsi="Cambria"/>
              </w:rPr>
              <w:t xml:space="preserve"> arbitration due to no administrative fees. However, in cases where the parties must hire a Secretary to assist the Arbitral Tribunal, the cost of this dispute settlement may increase.</w:t>
            </w:r>
          </w:p>
          <w:p w14:paraId="4A90E8B6" w14:textId="0EB28784" w:rsidR="009669CE" w:rsidRDefault="009669CE" w:rsidP="009669CE">
            <w:pPr>
              <w:jc w:val="both"/>
              <w:rPr>
                <w:rFonts w:ascii="Cambria" w:hAnsi="Cambria"/>
              </w:rPr>
            </w:pPr>
          </w:p>
        </w:tc>
      </w:tr>
      <w:tr w:rsidR="00266FC1" w14:paraId="74D64296" w14:textId="77777777" w:rsidTr="009669CE">
        <w:tc>
          <w:tcPr>
            <w:tcW w:w="1620" w:type="dxa"/>
          </w:tcPr>
          <w:p w14:paraId="0BF718FB" w14:textId="345E4CB9" w:rsidR="00266FC1" w:rsidRDefault="00266FC1" w:rsidP="00277B45">
            <w:pPr>
              <w:jc w:val="both"/>
              <w:rPr>
                <w:rFonts w:ascii="Cambria" w:hAnsi="Cambria"/>
              </w:rPr>
            </w:pPr>
            <w:r w:rsidRPr="00266FC1">
              <w:rPr>
                <w:rFonts w:ascii="Cambria" w:hAnsi="Cambria"/>
              </w:rPr>
              <w:t xml:space="preserve">Dispute resolution </w:t>
            </w:r>
            <w:r w:rsidR="00507DAC">
              <w:rPr>
                <w:rFonts w:ascii="Cambria" w:hAnsi="Cambria"/>
              </w:rPr>
              <w:t>time</w:t>
            </w:r>
          </w:p>
        </w:tc>
        <w:tc>
          <w:tcPr>
            <w:tcW w:w="3330" w:type="dxa"/>
          </w:tcPr>
          <w:p w14:paraId="4DCF09F1" w14:textId="2E629DE0" w:rsidR="00266FC1" w:rsidRDefault="00507DAC" w:rsidP="009669CE">
            <w:pPr>
              <w:jc w:val="both"/>
              <w:rPr>
                <w:rFonts w:ascii="Cambria" w:hAnsi="Cambria"/>
              </w:rPr>
            </w:pPr>
            <w:r>
              <w:rPr>
                <w:rFonts w:ascii="Cambria" w:hAnsi="Cambria"/>
              </w:rPr>
              <w:t>Can</w:t>
            </w:r>
            <w:r w:rsidRPr="00507DAC">
              <w:rPr>
                <w:rFonts w:ascii="Cambria" w:hAnsi="Cambria"/>
              </w:rPr>
              <w:t xml:space="preserve"> take </w:t>
            </w:r>
            <w:r>
              <w:rPr>
                <w:rFonts w:ascii="Cambria" w:hAnsi="Cambria"/>
              </w:rPr>
              <w:t>more time</w:t>
            </w:r>
            <w:r w:rsidRPr="00507DAC">
              <w:rPr>
                <w:rFonts w:ascii="Cambria" w:hAnsi="Cambria"/>
              </w:rPr>
              <w:t xml:space="preserve"> than ad hoc arbitration due to compliance with the arbitration center</w:t>
            </w:r>
            <w:r w:rsidR="00F6386E">
              <w:rPr>
                <w:rFonts w:ascii="Cambria" w:hAnsi="Cambria"/>
              </w:rPr>
              <w:t>’</w:t>
            </w:r>
            <w:r w:rsidRPr="00507DAC">
              <w:rPr>
                <w:rFonts w:ascii="Cambria" w:hAnsi="Cambria"/>
              </w:rPr>
              <w:t xml:space="preserve">s </w:t>
            </w:r>
            <w:r w:rsidR="006343D7">
              <w:rPr>
                <w:rFonts w:ascii="Cambria" w:hAnsi="Cambria"/>
              </w:rPr>
              <w:t>arbitration R</w:t>
            </w:r>
            <w:r w:rsidRPr="00507DAC">
              <w:rPr>
                <w:rFonts w:ascii="Cambria" w:hAnsi="Cambria"/>
              </w:rPr>
              <w:t>ules</w:t>
            </w:r>
            <w:r w:rsidR="009669CE">
              <w:rPr>
                <w:rFonts w:ascii="Cambria" w:hAnsi="Cambria"/>
              </w:rPr>
              <w:t>.</w:t>
            </w:r>
          </w:p>
          <w:p w14:paraId="218617B9" w14:textId="0F33B5B8" w:rsidR="009669CE" w:rsidRDefault="009669CE" w:rsidP="009669CE">
            <w:pPr>
              <w:jc w:val="both"/>
              <w:rPr>
                <w:rFonts w:ascii="Cambria" w:hAnsi="Cambria"/>
              </w:rPr>
            </w:pPr>
          </w:p>
        </w:tc>
        <w:tc>
          <w:tcPr>
            <w:tcW w:w="3833" w:type="dxa"/>
          </w:tcPr>
          <w:p w14:paraId="3048D313" w14:textId="55066CC1" w:rsidR="00266FC1" w:rsidRDefault="00507DAC" w:rsidP="009669CE">
            <w:pPr>
              <w:jc w:val="both"/>
              <w:rPr>
                <w:rFonts w:ascii="Cambria" w:hAnsi="Cambria"/>
              </w:rPr>
            </w:pPr>
            <w:r>
              <w:rPr>
                <w:rFonts w:ascii="Cambria" w:hAnsi="Cambria"/>
              </w:rPr>
              <w:t>The time is shortened</w:t>
            </w:r>
            <w:r w:rsidRPr="00507DAC">
              <w:rPr>
                <w:rFonts w:ascii="Cambria" w:hAnsi="Cambria"/>
              </w:rPr>
              <w:t xml:space="preserve"> as the disputing parties can agree to apply a more flexible proceeding.</w:t>
            </w:r>
          </w:p>
        </w:tc>
      </w:tr>
      <w:tr w:rsidR="00266FC1" w14:paraId="165179B0" w14:textId="77777777" w:rsidTr="009669CE">
        <w:tc>
          <w:tcPr>
            <w:tcW w:w="1620" w:type="dxa"/>
          </w:tcPr>
          <w:p w14:paraId="5AC567A8" w14:textId="184F64B5" w:rsidR="00266FC1" w:rsidRDefault="00266FC1" w:rsidP="00277B45">
            <w:pPr>
              <w:jc w:val="both"/>
              <w:rPr>
                <w:rFonts w:ascii="Cambria" w:hAnsi="Cambria"/>
              </w:rPr>
            </w:pPr>
            <w:r w:rsidRPr="00266FC1">
              <w:rPr>
                <w:rFonts w:ascii="Cambria" w:hAnsi="Cambria"/>
              </w:rPr>
              <w:t xml:space="preserve">Recognition and enforcement of </w:t>
            </w:r>
            <w:r w:rsidR="00EC2D80">
              <w:rPr>
                <w:rFonts w:ascii="Cambria" w:hAnsi="Cambria"/>
              </w:rPr>
              <w:t xml:space="preserve">foreign </w:t>
            </w:r>
            <w:r w:rsidR="00DD6DF6">
              <w:rPr>
                <w:rFonts w:ascii="Cambria" w:hAnsi="Cambria"/>
              </w:rPr>
              <w:t>arbitration award</w:t>
            </w:r>
          </w:p>
        </w:tc>
        <w:tc>
          <w:tcPr>
            <w:tcW w:w="3330" w:type="dxa"/>
          </w:tcPr>
          <w:p w14:paraId="16D5C3F6" w14:textId="77777777" w:rsidR="00266FC1" w:rsidRDefault="00507DAC" w:rsidP="00F6386E">
            <w:pPr>
              <w:jc w:val="both"/>
              <w:rPr>
                <w:rFonts w:ascii="Cambria" w:hAnsi="Cambria"/>
              </w:rPr>
            </w:pPr>
            <w:r w:rsidRPr="00507DAC">
              <w:rPr>
                <w:rFonts w:ascii="Cambria" w:hAnsi="Cambria"/>
              </w:rPr>
              <w:t xml:space="preserve">Courts often easily recognize and enforce awards of </w:t>
            </w:r>
            <w:r>
              <w:rPr>
                <w:rFonts w:ascii="Cambria" w:hAnsi="Cambria"/>
              </w:rPr>
              <w:t>institutional</w:t>
            </w:r>
            <w:r w:rsidRPr="00507DAC">
              <w:rPr>
                <w:rFonts w:ascii="Cambria" w:hAnsi="Cambria"/>
              </w:rPr>
              <w:t xml:space="preserve"> </w:t>
            </w:r>
            <w:r>
              <w:rPr>
                <w:rFonts w:ascii="Cambria" w:hAnsi="Cambria"/>
              </w:rPr>
              <w:t>a</w:t>
            </w:r>
            <w:r w:rsidRPr="00507DAC">
              <w:rPr>
                <w:rFonts w:ascii="Cambria" w:hAnsi="Cambria"/>
              </w:rPr>
              <w:t xml:space="preserve">rbitrators, especially those of arbitrations from reputable </w:t>
            </w:r>
            <w:r>
              <w:rPr>
                <w:rFonts w:ascii="Cambria" w:hAnsi="Cambria"/>
              </w:rPr>
              <w:t>A</w:t>
            </w:r>
            <w:r w:rsidRPr="00507DAC">
              <w:rPr>
                <w:rFonts w:ascii="Cambria" w:hAnsi="Cambria"/>
              </w:rPr>
              <w:t>rbitration centers.</w:t>
            </w:r>
          </w:p>
          <w:p w14:paraId="622678E9" w14:textId="1A785EB3" w:rsidR="009669CE" w:rsidRDefault="009669CE" w:rsidP="00507DAC">
            <w:pPr>
              <w:rPr>
                <w:rFonts w:ascii="Cambria" w:hAnsi="Cambria"/>
              </w:rPr>
            </w:pPr>
          </w:p>
        </w:tc>
        <w:tc>
          <w:tcPr>
            <w:tcW w:w="3833" w:type="dxa"/>
          </w:tcPr>
          <w:p w14:paraId="78F97D86" w14:textId="38D72E6C" w:rsidR="00266FC1" w:rsidRDefault="00507DAC" w:rsidP="00F6386E">
            <w:pPr>
              <w:jc w:val="both"/>
              <w:rPr>
                <w:rFonts w:ascii="Cambria" w:hAnsi="Cambria"/>
              </w:rPr>
            </w:pPr>
            <w:r w:rsidRPr="00507DAC">
              <w:rPr>
                <w:rFonts w:ascii="Cambria" w:hAnsi="Cambria"/>
              </w:rPr>
              <w:t xml:space="preserve">Recognition and enforcement of arbitral awards can be </w:t>
            </w:r>
            <w:r w:rsidR="006343D7">
              <w:rPr>
                <w:rFonts w:ascii="Cambria" w:hAnsi="Cambria"/>
              </w:rPr>
              <w:t xml:space="preserve">more </w:t>
            </w:r>
            <w:r w:rsidRPr="00507DAC">
              <w:rPr>
                <w:rFonts w:ascii="Cambria" w:hAnsi="Cambria"/>
              </w:rPr>
              <w:t>difficult</w:t>
            </w:r>
            <w:r w:rsidR="00F6386E">
              <w:rPr>
                <w:rFonts w:ascii="Cambria" w:hAnsi="Cambria"/>
              </w:rPr>
              <w:t>.</w:t>
            </w:r>
          </w:p>
        </w:tc>
      </w:tr>
    </w:tbl>
    <w:p w14:paraId="64534A1F" w14:textId="77777777" w:rsidR="00266FC1" w:rsidRDefault="00266FC1" w:rsidP="00277B45">
      <w:pPr>
        <w:jc w:val="both"/>
        <w:rPr>
          <w:rFonts w:ascii="Cambria" w:hAnsi="Cambria"/>
        </w:rPr>
      </w:pPr>
    </w:p>
    <w:p w14:paraId="451E6E33" w14:textId="5FEB3966" w:rsidR="00266FC1" w:rsidRPr="00266FC1" w:rsidRDefault="00266FC1" w:rsidP="00266FC1">
      <w:pPr>
        <w:jc w:val="right"/>
        <w:rPr>
          <w:rFonts w:ascii="Cambria" w:hAnsi="Cambria"/>
          <w:b/>
          <w:bCs/>
          <w:i/>
          <w:iCs/>
          <w:u w:val="single"/>
        </w:rPr>
      </w:pPr>
      <w:r w:rsidRPr="00266FC1">
        <w:rPr>
          <w:rFonts w:ascii="Cambria" w:hAnsi="Cambria"/>
          <w:b/>
          <w:bCs/>
          <w:i/>
          <w:iCs/>
          <w:u w:val="single"/>
        </w:rPr>
        <w:t>ADK &amp; Co Vietnam Lawyers</w:t>
      </w:r>
      <w:r w:rsidR="007358D2">
        <w:rPr>
          <w:rFonts w:ascii="Cambria" w:hAnsi="Cambria"/>
          <w:b/>
          <w:bCs/>
          <w:i/>
          <w:iCs/>
          <w:u w:val="single"/>
        </w:rPr>
        <w:t xml:space="preserve"> L</w:t>
      </w:r>
      <w:r w:rsidR="006C3F87">
        <w:rPr>
          <w:rFonts w:ascii="Cambria" w:hAnsi="Cambria"/>
          <w:b/>
          <w:bCs/>
          <w:i/>
          <w:iCs/>
          <w:u w:val="single"/>
        </w:rPr>
        <w:t>aw Firm</w:t>
      </w:r>
    </w:p>
    <w:sectPr w:rsidR="00266FC1" w:rsidRPr="00266FC1" w:rsidSect="00BA3062">
      <w:headerReference w:type="default" r:id="rId7"/>
      <w:footerReference w:type="default" r:id="rId8"/>
      <w:pgSz w:w="12240" w:h="15840"/>
      <w:pgMar w:top="1134" w:right="1134" w:bottom="1134" w:left="1418"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25AE56" w14:textId="77777777" w:rsidR="00CD1624" w:rsidRDefault="00CD1624">
      <w:pPr>
        <w:spacing w:after="0" w:line="240" w:lineRule="auto"/>
      </w:pPr>
      <w:r>
        <w:separator/>
      </w:r>
    </w:p>
  </w:endnote>
  <w:endnote w:type="continuationSeparator" w:id="0">
    <w:p w14:paraId="1E49C0E4" w14:textId="77777777" w:rsidR="00CD1624" w:rsidRDefault="00CD16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2305745" w14:textId="77777777" w:rsidR="00E25ADC" w:rsidRPr="0092080A" w:rsidRDefault="00744589" w:rsidP="0092080A">
    <w:pPr>
      <w:pBdr>
        <w:top w:val="single" w:sz="4" w:space="0" w:color="808080"/>
        <w:left w:val="single" w:sz="4" w:space="4" w:color="808080"/>
        <w:bottom w:val="single" w:sz="4" w:space="0" w:color="808080"/>
        <w:right w:val="single" w:sz="4" w:space="1" w:color="808080"/>
      </w:pBdr>
      <w:tabs>
        <w:tab w:val="center" w:pos="4320"/>
        <w:tab w:val="left" w:pos="8730"/>
        <w:tab w:val="left" w:pos="13770"/>
      </w:tabs>
      <w:spacing w:after="0" w:line="240" w:lineRule="auto"/>
      <w:jc w:val="center"/>
      <w:rPr>
        <w:rFonts w:ascii="Cambria" w:hAnsi="Cambria"/>
        <w:b/>
        <w:sz w:val="20"/>
        <w:szCs w:val="20"/>
      </w:rPr>
    </w:pPr>
    <w:r w:rsidRPr="0092080A">
      <w:rPr>
        <w:rFonts w:ascii="Cambria" w:hAnsi="Cambria"/>
        <w:b/>
        <w:sz w:val="20"/>
        <w:szCs w:val="20"/>
        <w:lang w:val="en"/>
      </w:rPr>
      <w:t>ADK &amp; Co Vietnam Lawyers</w:t>
    </w:r>
  </w:p>
  <w:p w14:paraId="7390CA41" w14:textId="77777777" w:rsidR="00E25ADC" w:rsidRPr="0092080A" w:rsidRDefault="00CD1624" w:rsidP="0092080A">
    <w:pPr>
      <w:pBdr>
        <w:top w:val="single" w:sz="4" w:space="0" w:color="808080"/>
        <w:left w:val="single" w:sz="4" w:space="4" w:color="808080"/>
        <w:bottom w:val="single" w:sz="4" w:space="0" w:color="808080"/>
        <w:right w:val="single" w:sz="4" w:space="1" w:color="808080"/>
      </w:pBdr>
      <w:tabs>
        <w:tab w:val="center" w:pos="5760"/>
        <w:tab w:val="left" w:pos="8730"/>
        <w:tab w:val="left" w:pos="13770"/>
      </w:tabs>
      <w:spacing w:after="0" w:line="240" w:lineRule="auto"/>
      <w:jc w:val="center"/>
      <w:rPr>
        <w:rFonts w:ascii="Cambria" w:hAnsi="Cambria"/>
        <w:sz w:val="20"/>
        <w:szCs w:val="20"/>
      </w:rPr>
    </w:pPr>
    <w:hyperlink r:id="rId1" w:history="1">
      <w:r w:rsidR="00744589" w:rsidRPr="0092080A">
        <w:rPr>
          <w:rStyle w:val="Hyperlink"/>
          <w:rFonts w:ascii="Cambria" w:hAnsi="Cambria"/>
          <w:sz w:val="20"/>
          <w:szCs w:val="20"/>
          <w:lang w:val="en"/>
        </w:rPr>
        <w:t>www.adk-lawyers.com</w:t>
      </w:r>
    </w:hyperlink>
  </w:p>
  <w:p w14:paraId="14AC17CD" w14:textId="77777777" w:rsidR="00E25ADC" w:rsidRDefault="00CD162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1272DE" w14:textId="77777777" w:rsidR="00CD1624" w:rsidRDefault="00CD1624">
      <w:pPr>
        <w:spacing w:after="0" w:line="240" w:lineRule="auto"/>
      </w:pPr>
      <w:r>
        <w:separator/>
      </w:r>
    </w:p>
  </w:footnote>
  <w:footnote w:type="continuationSeparator" w:id="0">
    <w:p w14:paraId="5FAD321F" w14:textId="77777777" w:rsidR="00CD1624" w:rsidRDefault="00CD162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8EB6B5" w14:textId="77777777" w:rsidR="00E25ADC" w:rsidRDefault="00744589">
    <w:pPr>
      <w:pStyle w:val="Header"/>
    </w:pPr>
    <w:r>
      <w:rPr>
        <w:noProof/>
      </w:rPr>
      <w:drawing>
        <wp:anchor distT="0" distB="0" distL="114300" distR="114300" simplePos="0" relativeHeight="251659264" behindDoc="1" locked="0" layoutInCell="1" allowOverlap="1" wp14:anchorId="5AC29CFC" wp14:editId="770D5AD7">
          <wp:simplePos x="0" y="0"/>
          <wp:positionH relativeFrom="page">
            <wp:align>left</wp:align>
          </wp:positionH>
          <wp:positionV relativeFrom="paragraph">
            <wp:posOffset>0</wp:posOffset>
          </wp:positionV>
          <wp:extent cx="7761600" cy="1447605"/>
          <wp:effectExtent l="0" t="0" r="0" b="635"/>
          <wp:wrapTopAndBottom/>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rotWithShape="1">
                  <a:blip r:embed="rId1">
                    <a:extLst>
                      <a:ext uri="{28A0092B-C50C-407E-A947-70E740481C1C}">
                        <a14:useLocalDpi xmlns:a14="http://schemas.microsoft.com/office/drawing/2010/main" val="0"/>
                      </a:ext>
                    </a:extLst>
                  </a:blip>
                  <a:srcRect t="29820" b="30294"/>
                  <a:stretch/>
                </pic:blipFill>
                <pic:spPr bwMode="auto">
                  <a:xfrm>
                    <a:off x="0" y="0"/>
                    <a:ext cx="7761600" cy="14476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1243F8A"/>
    <w:multiLevelType w:val="hybridMultilevel"/>
    <w:tmpl w:val="D32AB35A"/>
    <w:lvl w:ilvl="0" w:tplc="35CE85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517D76"/>
    <w:multiLevelType w:val="hybridMultilevel"/>
    <w:tmpl w:val="4FFA997A"/>
    <w:lvl w:ilvl="0" w:tplc="D22EE9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B7700E"/>
    <w:multiLevelType w:val="hybridMultilevel"/>
    <w:tmpl w:val="57F0023E"/>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 w15:restartNumberingAfterBreak="0">
    <w:nsid w:val="3B6F5FA7"/>
    <w:multiLevelType w:val="hybridMultilevel"/>
    <w:tmpl w:val="9DD209CA"/>
    <w:lvl w:ilvl="0" w:tplc="69A674F6">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D71DC6"/>
    <w:multiLevelType w:val="hybridMultilevel"/>
    <w:tmpl w:val="7A1E3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DC3C6C"/>
    <w:multiLevelType w:val="hybridMultilevel"/>
    <w:tmpl w:val="3CA4C3D6"/>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FA12EC"/>
    <w:multiLevelType w:val="hybridMultilevel"/>
    <w:tmpl w:val="17687094"/>
    <w:lvl w:ilvl="0" w:tplc="D6C4AFAA">
      <w:start w:val="1"/>
      <w:numFmt w:val="decimal"/>
      <w:lvlText w:val="%1."/>
      <w:lvlJc w:val="left"/>
      <w:pPr>
        <w:ind w:left="720" w:hanging="360"/>
      </w:pPr>
      <w:rPr>
        <w:rFonts w:hint="default"/>
        <w:b/>
        <w:bCs/>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AE644F"/>
    <w:multiLevelType w:val="hybridMultilevel"/>
    <w:tmpl w:val="D9309122"/>
    <w:lvl w:ilvl="0" w:tplc="73C6D4E2">
      <w:start w:val="1"/>
      <w:numFmt w:val="bullet"/>
      <w:lvlText w:val="-"/>
      <w:lvlJc w:val="left"/>
      <w:pPr>
        <w:ind w:left="720" w:hanging="360"/>
      </w:pPr>
      <w:rPr>
        <w:rFonts w:ascii="Cambria" w:eastAsia="Times New Roman" w:hAnsi="Cambria" w:cs="Arial" w:hint="default"/>
      </w:rPr>
    </w:lvl>
    <w:lvl w:ilvl="1" w:tplc="28E2BA02">
      <w:start w:val="4"/>
      <w:numFmt w:val="bullet"/>
      <w:lvlText w:val="•"/>
      <w:lvlJc w:val="left"/>
      <w:pPr>
        <w:ind w:left="1440" w:hanging="360"/>
      </w:pPr>
      <w:rPr>
        <w:rFonts w:ascii="Cambria" w:eastAsiaTheme="minorHAnsi" w:hAnsi="Cambria" w:cstheme="minorBid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58C3D7B"/>
    <w:multiLevelType w:val="hybridMultilevel"/>
    <w:tmpl w:val="AD623BC4"/>
    <w:lvl w:ilvl="0" w:tplc="A6A2291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8094BA2"/>
    <w:multiLevelType w:val="hybridMultilevel"/>
    <w:tmpl w:val="464896CE"/>
    <w:lvl w:ilvl="0" w:tplc="65E23002">
      <w:start w:val="1"/>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B8F7F2C"/>
    <w:multiLevelType w:val="hybridMultilevel"/>
    <w:tmpl w:val="19345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0"/>
  </w:num>
  <w:num w:numId="3">
    <w:abstractNumId w:val="7"/>
  </w:num>
  <w:num w:numId="4">
    <w:abstractNumId w:val="8"/>
  </w:num>
  <w:num w:numId="5">
    <w:abstractNumId w:val="2"/>
  </w:num>
  <w:num w:numId="6">
    <w:abstractNumId w:val="10"/>
  </w:num>
  <w:num w:numId="7">
    <w:abstractNumId w:val="4"/>
  </w:num>
  <w:num w:numId="8">
    <w:abstractNumId w:val="3"/>
  </w:num>
  <w:num w:numId="9">
    <w:abstractNumId w:val="5"/>
  </w:num>
  <w:num w:numId="10">
    <w:abstractNumId w:val="1"/>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41D"/>
    <w:rsid w:val="000C31EA"/>
    <w:rsid w:val="000E6485"/>
    <w:rsid w:val="001058F1"/>
    <w:rsid w:val="00230922"/>
    <w:rsid w:val="002501FC"/>
    <w:rsid w:val="00266DA1"/>
    <w:rsid w:val="00266FC1"/>
    <w:rsid w:val="00277B45"/>
    <w:rsid w:val="002E50A5"/>
    <w:rsid w:val="003174FD"/>
    <w:rsid w:val="0038409E"/>
    <w:rsid w:val="0048425B"/>
    <w:rsid w:val="004F0093"/>
    <w:rsid w:val="00507DAC"/>
    <w:rsid w:val="00523D59"/>
    <w:rsid w:val="00533EA8"/>
    <w:rsid w:val="0058423A"/>
    <w:rsid w:val="005D304E"/>
    <w:rsid w:val="00630237"/>
    <w:rsid w:val="006343D7"/>
    <w:rsid w:val="00641814"/>
    <w:rsid w:val="006A104B"/>
    <w:rsid w:val="006C3F87"/>
    <w:rsid w:val="0071273D"/>
    <w:rsid w:val="007358D2"/>
    <w:rsid w:val="00744589"/>
    <w:rsid w:val="007D605C"/>
    <w:rsid w:val="007E314E"/>
    <w:rsid w:val="00800667"/>
    <w:rsid w:val="008B78D3"/>
    <w:rsid w:val="008C4E99"/>
    <w:rsid w:val="00933AA3"/>
    <w:rsid w:val="009465C4"/>
    <w:rsid w:val="00951BCD"/>
    <w:rsid w:val="009669CE"/>
    <w:rsid w:val="00AD0F93"/>
    <w:rsid w:val="00AF727C"/>
    <w:rsid w:val="00BA4D5B"/>
    <w:rsid w:val="00BB7FBF"/>
    <w:rsid w:val="00C1368B"/>
    <w:rsid w:val="00C717DD"/>
    <w:rsid w:val="00CC56BA"/>
    <w:rsid w:val="00CD1624"/>
    <w:rsid w:val="00DA741D"/>
    <w:rsid w:val="00DD4449"/>
    <w:rsid w:val="00DD6DF6"/>
    <w:rsid w:val="00E05031"/>
    <w:rsid w:val="00EC2D80"/>
    <w:rsid w:val="00EF0E31"/>
    <w:rsid w:val="00F42E64"/>
    <w:rsid w:val="00F6386E"/>
    <w:rsid w:val="00F86ABC"/>
    <w:rsid w:val="00FC3A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4A335"/>
  <w15:chartTrackingRefBased/>
  <w15:docId w15:val="{6AC35BFC-5B42-4FE7-BBE4-269B091D55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A741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741D"/>
    <w:pPr>
      <w:ind w:left="720"/>
      <w:contextualSpacing/>
    </w:pPr>
  </w:style>
  <w:style w:type="paragraph" w:styleId="Header">
    <w:name w:val="header"/>
    <w:basedOn w:val="Normal"/>
    <w:link w:val="HeaderChar"/>
    <w:uiPriority w:val="99"/>
    <w:unhideWhenUsed/>
    <w:rsid w:val="00DA741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A741D"/>
  </w:style>
  <w:style w:type="paragraph" w:styleId="Footer">
    <w:name w:val="footer"/>
    <w:basedOn w:val="Normal"/>
    <w:link w:val="FooterChar"/>
    <w:uiPriority w:val="99"/>
    <w:unhideWhenUsed/>
    <w:rsid w:val="00DA741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A741D"/>
  </w:style>
  <w:style w:type="character" w:styleId="Hyperlink">
    <w:name w:val="Hyperlink"/>
    <w:uiPriority w:val="99"/>
    <w:unhideWhenUsed/>
    <w:rsid w:val="00DA741D"/>
    <w:rPr>
      <w:color w:val="0000FF"/>
      <w:u w:val="single"/>
    </w:rPr>
  </w:style>
  <w:style w:type="paragraph" w:styleId="NormalWeb">
    <w:name w:val="Normal (Web)"/>
    <w:basedOn w:val="Normal"/>
    <w:uiPriority w:val="99"/>
    <w:unhideWhenUsed/>
    <w:rsid w:val="00533EA8"/>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39"/>
    <w:rsid w:val="006418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2156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adk-lawye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312</TotalTime>
  <Pages>2</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 Nhat Nghi</dc:creator>
  <cp:keywords/>
  <dc:description/>
  <cp:lastModifiedBy>Tran Nhat Nghi</cp:lastModifiedBy>
  <cp:revision>43</cp:revision>
  <dcterms:created xsi:type="dcterms:W3CDTF">2021-08-24T06:43:00Z</dcterms:created>
  <dcterms:modified xsi:type="dcterms:W3CDTF">2021-08-30T05:31:00Z</dcterms:modified>
</cp:coreProperties>
</file>