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C811C" w14:textId="77777777" w:rsidR="008B1C1D" w:rsidRPr="008B1C1D" w:rsidRDefault="008B1C1D" w:rsidP="00D6535A">
      <w:pPr>
        <w:pStyle w:val="ListParagraph"/>
        <w:spacing w:after="0"/>
        <w:ind w:left="0"/>
        <w:jc w:val="center"/>
        <w:rPr>
          <w:rFonts w:ascii="Cambria" w:hAnsi="Cambria"/>
          <w:b/>
          <w:bCs/>
          <w:color w:val="000000" w:themeColor="text1"/>
        </w:rPr>
      </w:pPr>
      <w:r w:rsidRPr="008B1C1D">
        <w:rPr>
          <w:rFonts w:ascii="Cambria" w:hAnsi="Cambria"/>
          <w:b/>
          <w:bCs/>
          <w:color w:val="000000" w:themeColor="text1"/>
        </w:rPr>
        <w:t>CONDITIONS FOR ENJOYING TAX INCENTIVES OF FDI ENTERPRISES</w:t>
      </w:r>
    </w:p>
    <w:p w14:paraId="55A3B5C5" w14:textId="77777777" w:rsidR="008B1C1D" w:rsidRPr="008B1C1D" w:rsidRDefault="008B1C1D" w:rsidP="00D6535A">
      <w:pPr>
        <w:pStyle w:val="ListParagraph"/>
        <w:spacing w:after="0"/>
        <w:ind w:left="0"/>
        <w:jc w:val="both"/>
        <w:rPr>
          <w:rFonts w:ascii="Cambria" w:hAnsi="Cambria"/>
          <w:color w:val="000000" w:themeColor="text1"/>
        </w:rPr>
      </w:pPr>
    </w:p>
    <w:p w14:paraId="04811F96" w14:textId="77777777" w:rsidR="008B1C1D" w:rsidRPr="008B1C1D" w:rsidRDefault="008B1C1D" w:rsidP="00D6535A">
      <w:pPr>
        <w:pStyle w:val="ListParagraph"/>
        <w:spacing w:after="0"/>
        <w:ind w:left="0"/>
        <w:jc w:val="both"/>
        <w:rPr>
          <w:rFonts w:ascii="Cambria" w:hAnsi="Cambria"/>
          <w:color w:val="000000" w:themeColor="text1"/>
        </w:rPr>
      </w:pPr>
      <w:r w:rsidRPr="008B1C1D">
        <w:rPr>
          <w:rFonts w:ascii="Cambria" w:hAnsi="Cambria"/>
          <w:color w:val="000000" w:themeColor="text1"/>
        </w:rPr>
        <w:t>According to Article 15.2 of the Law on Investment 2020 to enjoy investment incentives in general and tax incentives in particular, FDI enterprises (foreign direct investment) need to meet one of the following conditions:</w:t>
      </w:r>
    </w:p>
    <w:p w14:paraId="68A568E0" w14:textId="77777777" w:rsidR="008B1C1D" w:rsidRPr="008B1C1D" w:rsidRDefault="008B1C1D" w:rsidP="00D6535A">
      <w:pPr>
        <w:pStyle w:val="ListParagraph"/>
        <w:spacing w:after="0"/>
        <w:ind w:left="0"/>
        <w:jc w:val="both"/>
        <w:rPr>
          <w:rFonts w:ascii="Cambria" w:hAnsi="Cambria"/>
          <w:color w:val="000000" w:themeColor="text1"/>
        </w:rPr>
      </w:pPr>
    </w:p>
    <w:p w14:paraId="2CB539BC" w14:textId="34796F68" w:rsidR="008B1C1D" w:rsidRPr="008B1C1D" w:rsidRDefault="008B1C1D" w:rsidP="00D6535A">
      <w:pPr>
        <w:pStyle w:val="ListParagraph"/>
        <w:numPr>
          <w:ilvl w:val="0"/>
          <w:numId w:val="10"/>
        </w:numPr>
        <w:spacing w:after="0"/>
        <w:ind w:hanging="720"/>
        <w:jc w:val="both"/>
        <w:rPr>
          <w:rFonts w:ascii="Cambria" w:hAnsi="Cambria"/>
          <w:b/>
          <w:bCs/>
          <w:color w:val="000000" w:themeColor="text1"/>
        </w:rPr>
      </w:pPr>
      <w:r w:rsidRPr="008B1C1D">
        <w:rPr>
          <w:rFonts w:ascii="Cambria" w:hAnsi="Cambria"/>
          <w:b/>
          <w:bCs/>
          <w:color w:val="000000" w:themeColor="text1"/>
        </w:rPr>
        <w:t>Investment projects in business lines eligible for investment incentives or industries with special investment incentives</w:t>
      </w:r>
    </w:p>
    <w:p w14:paraId="3F74AB67" w14:textId="77777777" w:rsidR="008B1C1D" w:rsidRPr="008B1C1D" w:rsidRDefault="008B1C1D" w:rsidP="00D6535A">
      <w:pPr>
        <w:pStyle w:val="ListParagraph"/>
        <w:spacing w:after="0"/>
        <w:ind w:left="0"/>
        <w:jc w:val="both"/>
        <w:rPr>
          <w:rFonts w:ascii="Cambria" w:hAnsi="Cambria"/>
          <w:color w:val="000000" w:themeColor="text1"/>
        </w:rPr>
      </w:pPr>
    </w:p>
    <w:p w14:paraId="79E05A8B" w14:textId="7DBEE8D7" w:rsidR="008B1C1D" w:rsidRPr="008B1C1D" w:rsidRDefault="008B1C1D" w:rsidP="00D6535A">
      <w:pPr>
        <w:pStyle w:val="ListParagraph"/>
        <w:spacing w:after="0"/>
        <w:ind w:left="0"/>
        <w:jc w:val="both"/>
        <w:rPr>
          <w:rFonts w:ascii="Cambria" w:hAnsi="Cambria"/>
          <w:color w:val="000000" w:themeColor="text1"/>
        </w:rPr>
      </w:pPr>
      <w:r w:rsidRPr="008B1C1D">
        <w:rPr>
          <w:rFonts w:ascii="Cambria" w:hAnsi="Cambria"/>
          <w:color w:val="000000" w:themeColor="text1"/>
        </w:rPr>
        <w:t>Article 16.1 of the Law on Investment</w:t>
      </w:r>
      <w:r>
        <w:rPr>
          <w:rFonts w:ascii="Cambria" w:hAnsi="Cambria"/>
          <w:color w:val="000000" w:themeColor="text1"/>
        </w:rPr>
        <w:t xml:space="preserve"> </w:t>
      </w:r>
      <w:r w:rsidRPr="008B1C1D">
        <w:rPr>
          <w:rFonts w:ascii="Cambria" w:hAnsi="Cambria"/>
          <w:color w:val="000000" w:themeColor="text1"/>
        </w:rPr>
        <w:t>2020 and Appendix II of Decree 31/2021/ND-CP stipulate the business lines eligible for investment incentives, including:</w:t>
      </w:r>
    </w:p>
    <w:p w14:paraId="2EFE7551" w14:textId="77777777" w:rsidR="008B1C1D" w:rsidRPr="008B1C1D" w:rsidRDefault="008B1C1D" w:rsidP="00D6535A">
      <w:pPr>
        <w:pStyle w:val="ListParagraph"/>
        <w:spacing w:after="0"/>
        <w:ind w:left="0"/>
        <w:jc w:val="both"/>
        <w:rPr>
          <w:rFonts w:ascii="Cambria" w:hAnsi="Cambria"/>
          <w:color w:val="000000" w:themeColor="text1"/>
        </w:rPr>
      </w:pPr>
    </w:p>
    <w:p w14:paraId="72E770C6" w14:textId="51C071C5"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High-tech activities, high-tech supporting industrial products, research and development activities, and production of products formed from scientific and technological results under the law on science and technology;</w:t>
      </w:r>
    </w:p>
    <w:p w14:paraId="33DE5FA8" w14:textId="77777777" w:rsidR="008B1C1D" w:rsidRPr="008B1C1D" w:rsidRDefault="008B1C1D" w:rsidP="00D6535A">
      <w:pPr>
        <w:pStyle w:val="ListParagraph"/>
        <w:spacing w:after="0"/>
        <w:ind w:left="0" w:hanging="720"/>
        <w:jc w:val="both"/>
        <w:rPr>
          <w:rFonts w:ascii="Cambria" w:hAnsi="Cambria"/>
          <w:color w:val="000000" w:themeColor="text1"/>
        </w:rPr>
      </w:pPr>
    </w:p>
    <w:p w14:paraId="75087018" w14:textId="5ED9619D"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Producing new materials, new energy, clean energy, renewable energy; produce products with the added value of 30% or more, energy-saving products;</w:t>
      </w:r>
    </w:p>
    <w:p w14:paraId="5FC12E2C" w14:textId="77777777" w:rsidR="008B1C1D" w:rsidRPr="008B1C1D" w:rsidRDefault="008B1C1D" w:rsidP="00D6535A">
      <w:pPr>
        <w:pStyle w:val="ListParagraph"/>
        <w:spacing w:after="0"/>
        <w:ind w:left="0" w:hanging="720"/>
        <w:jc w:val="both"/>
        <w:rPr>
          <w:rFonts w:ascii="Cambria" w:hAnsi="Cambria"/>
          <w:color w:val="000000" w:themeColor="text1"/>
        </w:rPr>
      </w:pPr>
    </w:p>
    <w:p w14:paraId="111525BB" w14:textId="5482B613"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Producing electronic products, key mechanical products, agricultural machines, automobiles, auto parts; shipbuilding;</w:t>
      </w:r>
    </w:p>
    <w:p w14:paraId="73551EF1" w14:textId="77777777" w:rsidR="008B1C1D" w:rsidRPr="008B1C1D" w:rsidRDefault="008B1C1D" w:rsidP="00D6535A">
      <w:pPr>
        <w:pStyle w:val="ListParagraph"/>
        <w:spacing w:after="0"/>
        <w:ind w:left="0" w:hanging="720"/>
        <w:jc w:val="both"/>
        <w:rPr>
          <w:rFonts w:ascii="Cambria" w:hAnsi="Cambria"/>
          <w:color w:val="000000" w:themeColor="text1"/>
        </w:rPr>
      </w:pPr>
    </w:p>
    <w:p w14:paraId="2391039B" w14:textId="358FE247"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Producing products on the list of supporting industry products prioritized for development;</w:t>
      </w:r>
    </w:p>
    <w:p w14:paraId="0D44151F" w14:textId="77777777" w:rsidR="008B1C1D" w:rsidRPr="008B1C1D" w:rsidRDefault="008B1C1D" w:rsidP="00D6535A">
      <w:pPr>
        <w:pStyle w:val="ListParagraph"/>
        <w:spacing w:after="0"/>
        <w:ind w:left="0" w:hanging="720"/>
        <w:jc w:val="both"/>
        <w:rPr>
          <w:rFonts w:ascii="Cambria" w:hAnsi="Cambria"/>
          <w:color w:val="000000" w:themeColor="text1"/>
        </w:rPr>
      </w:pPr>
    </w:p>
    <w:p w14:paraId="07EB0881" w14:textId="6BE87C6E"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Producing information technology products, software, digital content;</w:t>
      </w:r>
    </w:p>
    <w:p w14:paraId="5EB1DFDA" w14:textId="77777777" w:rsidR="008B1C1D" w:rsidRPr="008B1C1D" w:rsidRDefault="008B1C1D" w:rsidP="00D6535A">
      <w:pPr>
        <w:pStyle w:val="ListParagraph"/>
        <w:spacing w:after="0"/>
        <w:ind w:left="0" w:hanging="720"/>
        <w:jc w:val="both"/>
        <w:rPr>
          <w:rFonts w:ascii="Cambria" w:hAnsi="Cambria"/>
          <w:color w:val="000000" w:themeColor="text1"/>
        </w:rPr>
      </w:pPr>
    </w:p>
    <w:p w14:paraId="68E5A7BA" w14:textId="50FA8278"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Cultivation and processing of agricultural, forestry, and aquatic products; planting and protecting forests; making salt; fishing and fisheries logistics services; production of plant varieties, animal breeds, and biotechnology products;</w:t>
      </w:r>
    </w:p>
    <w:p w14:paraId="4D607C3C" w14:textId="77777777" w:rsidR="008B1C1D" w:rsidRPr="008B1C1D" w:rsidRDefault="008B1C1D" w:rsidP="00D6535A">
      <w:pPr>
        <w:pStyle w:val="ListParagraph"/>
        <w:spacing w:after="0"/>
        <w:ind w:left="0" w:hanging="720"/>
        <w:jc w:val="both"/>
        <w:rPr>
          <w:rFonts w:ascii="Cambria" w:hAnsi="Cambria"/>
          <w:color w:val="000000" w:themeColor="text1"/>
        </w:rPr>
      </w:pPr>
    </w:p>
    <w:p w14:paraId="098AF8B2" w14:textId="356C0ED6"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Collect, treat, recycle or reuse waste;</w:t>
      </w:r>
    </w:p>
    <w:p w14:paraId="3373718C" w14:textId="77777777" w:rsidR="008B1C1D" w:rsidRPr="008B1C1D" w:rsidRDefault="008B1C1D" w:rsidP="00D6535A">
      <w:pPr>
        <w:pStyle w:val="ListParagraph"/>
        <w:spacing w:after="0"/>
        <w:ind w:left="0" w:hanging="720"/>
        <w:jc w:val="both"/>
        <w:rPr>
          <w:rFonts w:ascii="Cambria" w:hAnsi="Cambria"/>
          <w:color w:val="000000" w:themeColor="text1"/>
        </w:rPr>
      </w:pPr>
    </w:p>
    <w:p w14:paraId="6ED7DA21" w14:textId="0D81E809"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Investment in development, operation, and management of infrastructure works; develop public passenger transport in urban areas;</w:t>
      </w:r>
    </w:p>
    <w:p w14:paraId="69D80EC2" w14:textId="77777777" w:rsidR="008B1C1D" w:rsidRPr="008B1C1D" w:rsidRDefault="008B1C1D" w:rsidP="00D6535A">
      <w:pPr>
        <w:pStyle w:val="ListParagraph"/>
        <w:spacing w:after="0"/>
        <w:ind w:left="0" w:hanging="720"/>
        <w:jc w:val="both"/>
        <w:rPr>
          <w:rFonts w:ascii="Cambria" w:hAnsi="Cambria"/>
          <w:color w:val="000000" w:themeColor="text1"/>
        </w:rPr>
      </w:pPr>
    </w:p>
    <w:p w14:paraId="20BB2289" w14:textId="4BAF4EE7"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Pre-school education, general education, vocational education, higher education;</w:t>
      </w:r>
    </w:p>
    <w:p w14:paraId="4628B77D" w14:textId="77777777" w:rsidR="008B1C1D" w:rsidRPr="008B1C1D" w:rsidRDefault="008B1C1D" w:rsidP="00D6535A">
      <w:pPr>
        <w:pStyle w:val="ListParagraph"/>
        <w:spacing w:after="0"/>
        <w:ind w:left="0" w:hanging="720"/>
        <w:jc w:val="both"/>
        <w:rPr>
          <w:rFonts w:ascii="Cambria" w:hAnsi="Cambria"/>
          <w:color w:val="000000" w:themeColor="text1"/>
        </w:rPr>
      </w:pPr>
    </w:p>
    <w:p w14:paraId="23140875" w14:textId="1F72BF26"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Medical examination and treatment; production of drugs, medicinal ingredients, drug preservation; scientific research on preparation technology and biotechnology for the production of new drugs; manufacture of medical equipment;</w:t>
      </w:r>
    </w:p>
    <w:p w14:paraId="5295465F" w14:textId="77777777" w:rsidR="008B1C1D" w:rsidRPr="008B1C1D" w:rsidRDefault="008B1C1D" w:rsidP="00D6535A">
      <w:pPr>
        <w:pStyle w:val="ListParagraph"/>
        <w:spacing w:after="0"/>
        <w:ind w:left="0" w:hanging="720"/>
        <w:jc w:val="both"/>
        <w:rPr>
          <w:rFonts w:ascii="Cambria" w:hAnsi="Cambria"/>
          <w:color w:val="000000" w:themeColor="text1"/>
        </w:rPr>
      </w:pPr>
    </w:p>
    <w:p w14:paraId="43B98A7F" w14:textId="101BD65F"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Investing in physical training and sports facilities for people with disabilities or professionals; protect and promote the value of cultural heritage;</w:t>
      </w:r>
    </w:p>
    <w:p w14:paraId="4002F7C3" w14:textId="77777777" w:rsidR="008B1C1D" w:rsidRPr="008B1C1D" w:rsidRDefault="008B1C1D" w:rsidP="00D6535A">
      <w:pPr>
        <w:pStyle w:val="ListParagraph"/>
        <w:spacing w:after="0"/>
        <w:ind w:left="0" w:hanging="720"/>
        <w:jc w:val="both"/>
        <w:rPr>
          <w:rFonts w:ascii="Cambria" w:hAnsi="Cambria"/>
          <w:color w:val="000000" w:themeColor="text1"/>
        </w:rPr>
      </w:pPr>
    </w:p>
    <w:p w14:paraId="4CE7D492" w14:textId="16FBAB85"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Investing in geriatric and psychiatric centers, treating patients infected with agent orange; centers for the elderly, disabled, orphans</w:t>
      </w:r>
      <w:r>
        <w:rPr>
          <w:rFonts w:ascii="Cambria" w:hAnsi="Cambria"/>
          <w:color w:val="000000" w:themeColor="text1"/>
        </w:rPr>
        <w:t>,</w:t>
      </w:r>
      <w:r w:rsidRPr="008B1C1D">
        <w:rPr>
          <w:rFonts w:ascii="Cambria" w:hAnsi="Cambria"/>
          <w:color w:val="000000" w:themeColor="text1"/>
        </w:rPr>
        <w:t xml:space="preserve"> and homeless children;</w:t>
      </w:r>
    </w:p>
    <w:p w14:paraId="74D2D1FB" w14:textId="77777777" w:rsidR="008B1C1D" w:rsidRPr="008B1C1D" w:rsidRDefault="008B1C1D" w:rsidP="00D6535A">
      <w:pPr>
        <w:pStyle w:val="ListParagraph"/>
        <w:spacing w:after="0"/>
        <w:ind w:left="0" w:hanging="720"/>
        <w:jc w:val="both"/>
        <w:rPr>
          <w:rFonts w:ascii="Cambria" w:hAnsi="Cambria"/>
          <w:color w:val="000000" w:themeColor="text1"/>
        </w:rPr>
      </w:pPr>
    </w:p>
    <w:p w14:paraId="56CE8E6E" w14:textId="4FEFB8D9"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People's credit funds, microfinance institutions;</w:t>
      </w:r>
    </w:p>
    <w:p w14:paraId="4D3B02BA" w14:textId="77777777" w:rsidR="008B1C1D" w:rsidRPr="008B1C1D" w:rsidRDefault="008B1C1D" w:rsidP="00D6535A">
      <w:pPr>
        <w:pStyle w:val="ListParagraph"/>
        <w:spacing w:after="0"/>
        <w:ind w:left="0" w:hanging="720"/>
        <w:jc w:val="both"/>
        <w:rPr>
          <w:rFonts w:ascii="Cambria" w:hAnsi="Cambria"/>
          <w:color w:val="000000" w:themeColor="text1"/>
        </w:rPr>
      </w:pPr>
    </w:p>
    <w:p w14:paraId="6BE48192" w14:textId="3A934B21" w:rsidR="008B1C1D" w:rsidRPr="008B1C1D" w:rsidRDefault="008B1C1D" w:rsidP="00D6535A">
      <w:pPr>
        <w:pStyle w:val="ListParagraph"/>
        <w:numPr>
          <w:ilvl w:val="0"/>
          <w:numId w:val="11"/>
        </w:numPr>
        <w:spacing w:after="0"/>
        <w:ind w:hanging="720"/>
        <w:jc w:val="both"/>
        <w:rPr>
          <w:rFonts w:ascii="Cambria" w:hAnsi="Cambria"/>
          <w:color w:val="000000" w:themeColor="text1"/>
        </w:rPr>
      </w:pPr>
      <w:r w:rsidRPr="008B1C1D">
        <w:rPr>
          <w:rFonts w:ascii="Cambria" w:hAnsi="Cambria"/>
          <w:color w:val="000000" w:themeColor="text1"/>
        </w:rPr>
        <w:t>Producing goods, providing services to create or participate in value chains, industry clusters.</w:t>
      </w:r>
    </w:p>
    <w:p w14:paraId="384B9C60" w14:textId="77777777" w:rsidR="008B1C1D" w:rsidRPr="008B1C1D" w:rsidRDefault="008B1C1D" w:rsidP="00D6535A">
      <w:pPr>
        <w:pStyle w:val="ListParagraph"/>
        <w:spacing w:after="0"/>
        <w:ind w:left="0"/>
        <w:jc w:val="both"/>
        <w:rPr>
          <w:rFonts w:ascii="Cambria" w:hAnsi="Cambria"/>
          <w:color w:val="000000" w:themeColor="text1"/>
        </w:rPr>
      </w:pPr>
    </w:p>
    <w:p w14:paraId="47BADCBA" w14:textId="4491A887" w:rsidR="008B1C1D" w:rsidRPr="008B1C1D" w:rsidRDefault="008B1C1D" w:rsidP="00D6535A">
      <w:pPr>
        <w:pStyle w:val="ListParagraph"/>
        <w:numPr>
          <w:ilvl w:val="0"/>
          <w:numId w:val="10"/>
        </w:numPr>
        <w:spacing w:after="0"/>
        <w:ind w:hanging="720"/>
        <w:jc w:val="both"/>
        <w:rPr>
          <w:rFonts w:ascii="Cambria" w:hAnsi="Cambria"/>
          <w:b/>
          <w:bCs/>
          <w:color w:val="000000" w:themeColor="text1"/>
        </w:rPr>
      </w:pPr>
      <w:r w:rsidRPr="008B1C1D">
        <w:rPr>
          <w:rFonts w:ascii="Cambria" w:hAnsi="Cambria"/>
          <w:b/>
          <w:bCs/>
          <w:color w:val="000000" w:themeColor="text1"/>
        </w:rPr>
        <w:t>Investment projects in areas eligible for investment incentives</w:t>
      </w:r>
    </w:p>
    <w:p w14:paraId="66B29AD8" w14:textId="77777777" w:rsidR="008B1C1D" w:rsidRPr="008B1C1D" w:rsidRDefault="008B1C1D" w:rsidP="00D6535A">
      <w:pPr>
        <w:pStyle w:val="ListParagraph"/>
        <w:spacing w:after="0"/>
        <w:ind w:left="0"/>
        <w:jc w:val="both"/>
        <w:rPr>
          <w:rFonts w:ascii="Cambria" w:hAnsi="Cambria"/>
          <w:color w:val="000000" w:themeColor="text1"/>
        </w:rPr>
      </w:pPr>
    </w:p>
    <w:p w14:paraId="6CEB310D" w14:textId="77777777" w:rsidR="008B1C1D" w:rsidRPr="008B1C1D" w:rsidRDefault="008B1C1D" w:rsidP="00D6535A">
      <w:pPr>
        <w:pStyle w:val="ListParagraph"/>
        <w:spacing w:after="0"/>
        <w:ind w:left="0"/>
        <w:jc w:val="both"/>
        <w:rPr>
          <w:rFonts w:ascii="Cambria" w:hAnsi="Cambria"/>
          <w:color w:val="000000" w:themeColor="text1"/>
        </w:rPr>
      </w:pPr>
      <w:r w:rsidRPr="008B1C1D">
        <w:rPr>
          <w:rFonts w:ascii="Cambria" w:hAnsi="Cambria"/>
          <w:color w:val="000000" w:themeColor="text1"/>
        </w:rPr>
        <w:t>Areas of investment incentives include:</w:t>
      </w:r>
    </w:p>
    <w:p w14:paraId="15C59EBC" w14:textId="77777777" w:rsidR="008B1C1D" w:rsidRPr="008B1C1D" w:rsidRDefault="008B1C1D" w:rsidP="00D6535A">
      <w:pPr>
        <w:pStyle w:val="ListParagraph"/>
        <w:spacing w:after="0"/>
        <w:ind w:left="0"/>
        <w:jc w:val="both"/>
        <w:rPr>
          <w:rFonts w:ascii="Cambria" w:hAnsi="Cambria"/>
          <w:color w:val="000000" w:themeColor="text1"/>
        </w:rPr>
      </w:pPr>
    </w:p>
    <w:p w14:paraId="5967520F" w14:textId="0366D155" w:rsidR="008B1C1D" w:rsidRPr="008B1C1D" w:rsidRDefault="008B1C1D" w:rsidP="00D6535A">
      <w:pPr>
        <w:pStyle w:val="ListParagraph"/>
        <w:numPr>
          <w:ilvl w:val="0"/>
          <w:numId w:val="12"/>
        </w:numPr>
        <w:spacing w:after="0"/>
        <w:ind w:hanging="720"/>
        <w:jc w:val="both"/>
        <w:rPr>
          <w:rFonts w:ascii="Cambria" w:hAnsi="Cambria"/>
          <w:color w:val="000000" w:themeColor="text1"/>
        </w:rPr>
      </w:pPr>
      <w:r w:rsidRPr="008B1C1D">
        <w:rPr>
          <w:rFonts w:ascii="Cambria" w:hAnsi="Cambria"/>
          <w:color w:val="000000" w:themeColor="text1"/>
        </w:rPr>
        <w:t>Areas with difficult socio-economic conditions, areas with extremely difficult socio-economic conditions (Appendix III of Decree 31/2021/ND-CP)</w:t>
      </w:r>
      <w:r w:rsidR="00922645">
        <w:rPr>
          <w:rFonts w:ascii="Cambria" w:hAnsi="Cambria"/>
          <w:color w:val="000000" w:themeColor="text1"/>
        </w:rPr>
        <w:t>.</w:t>
      </w:r>
    </w:p>
    <w:p w14:paraId="6BC3F964" w14:textId="77777777" w:rsidR="008B1C1D" w:rsidRPr="008B1C1D" w:rsidRDefault="008B1C1D" w:rsidP="00D6535A">
      <w:pPr>
        <w:pStyle w:val="ListParagraph"/>
        <w:spacing w:after="0"/>
        <w:ind w:left="0" w:hanging="720"/>
        <w:jc w:val="both"/>
        <w:rPr>
          <w:rFonts w:ascii="Cambria" w:hAnsi="Cambria"/>
          <w:color w:val="000000" w:themeColor="text1"/>
        </w:rPr>
      </w:pPr>
    </w:p>
    <w:p w14:paraId="58435967" w14:textId="38DF5759" w:rsidR="008B1C1D" w:rsidRPr="008B1C1D" w:rsidRDefault="008B1C1D" w:rsidP="00D6535A">
      <w:pPr>
        <w:pStyle w:val="ListParagraph"/>
        <w:numPr>
          <w:ilvl w:val="0"/>
          <w:numId w:val="12"/>
        </w:numPr>
        <w:spacing w:after="0"/>
        <w:ind w:hanging="720"/>
        <w:jc w:val="both"/>
        <w:rPr>
          <w:rFonts w:ascii="Cambria" w:hAnsi="Cambria"/>
          <w:color w:val="000000" w:themeColor="text1"/>
        </w:rPr>
      </w:pPr>
      <w:r w:rsidRPr="008B1C1D">
        <w:rPr>
          <w:rFonts w:ascii="Cambria" w:hAnsi="Cambria"/>
          <w:color w:val="000000" w:themeColor="text1"/>
        </w:rPr>
        <w:t>Industrial parks, export processing zones, high-tech zones, economic zones.</w:t>
      </w:r>
    </w:p>
    <w:p w14:paraId="2AC9A9CC" w14:textId="77777777" w:rsidR="008B1C1D" w:rsidRPr="008B1C1D" w:rsidRDefault="008B1C1D" w:rsidP="00D6535A">
      <w:pPr>
        <w:pStyle w:val="ListParagraph"/>
        <w:spacing w:after="0"/>
        <w:ind w:left="0"/>
        <w:jc w:val="both"/>
        <w:rPr>
          <w:rFonts w:ascii="Cambria" w:hAnsi="Cambria"/>
          <w:color w:val="000000" w:themeColor="text1"/>
        </w:rPr>
      </w:pPr>
    </w:p>
    <w:p w14:paraId="1583C7BC" w14:textId="38A2C3CF" w:rsidR="008B1C1D" w:rsidRPr="008B1C1D" w:rsidRDefault="008B1C1D" w:rsidP="00D6535A">
      <w:pPr>
        <w:pStyle w:val="ListParagraph"/>
        <w:numPr>
          <w:ilvl w:val="0"/>
          <w:numId w:val="10"/>
        </w:numPr>
        <w:spacing w:after="0"/>
        <w:ind w:hanging="720"/>
        <w:jc w:val="both"/>
        <w:rPr>
          <w:rFonts w:ascii="Cambria" w:hAnsi="Cambria"/>
          <w:b/>
          <w:bCs/>
          <w:color w:val="000000" w:themeColor="text1"/>
        </w:rPr>
      </w:pPr>
      <w:r w:rsidRPr="008B1C1D">
        <w:rPr>
          <w:rFonts w:ascii="Cambria" w:hAnsi="Cambria"/>
          <w:b/>
          <w:bCs/>
          <w:color w:val="000000" w:themeColor="text1"/>
        </w:rPr>
        <w:t>Investment projects with the capital scale of VND 6,000 billion or more</w:t>
      </w:r>
    </w:p>
    <w:p w14:paraId="7B923BDA" w14:textId="77777777" w:rsidR="008B1C1D" w:rsidRPr="008B1C1D" w:rsidRDefault="008B1C1D" w:rsidP="00D6535A">
      <w:pPr>
        <w:pStyle w:val="ListParagraph"/>
        <w:spacing w:after="0"/>
        <w:ind w:left="0"/>
        <w:jc w:val="both"/>
        <w:rPr>
          <w:rFonts w:ascii="Cambria" w:hAnsi="Cambria"/>
          <w:color w:val="000000" w:themeColor="text1"/>
        </w:rPr>
      </w:pPr>
    </w:p>
    <w:p w14:paraId="340F221E" w14:textId="15A26DEC" w:rsidR="008B1C1D" w:rsidRPr="008B1C1D" w:rsidRDefault="008B1C1D" w:rsidP="00D6535A">
      <w:pPr>
        <w:pStyle w:val="ListParagraph"/>
        <w:numPr>
          <w:ilvl w:val="0"/>
          <w:numId w:val="13"/>
        </w:numPr>
        <w:spacing w:after="0"/>
        <w:ind w:hanging="720"/>
        <w:jc w:val="both"/>
        <w:rPr>
          <w:rFonts w:ascii="Cambria" w:hAnsi="Cambria"/>
          <w:color w:val="000000" w:themeColor="text1"/>
        </w:rPr>
      </w:pPr>
      <w:r w:rsidRPr="008B1C1D">
        <w:rPr>
          <w:rFonts w:ascii="Cambria" w:hAnsi="Cambria"/>
          <w:color w:val="000000" w:themeColor="text1"/>
        </w:rPr>
        <w:t>Disburse at least VND 6,000 billion within 03 years from the date of issuance of the Investment Registration Certificate, the Decision on approval of investment policy, and the investor's approval (for projects not subject to the issuance of an Investment Registration Certificate) or an Investor Approval Decision (for projects not subject to the issuance of an Investment Registration Certificate);</w:t>
      </w:r>
    </w:p>
    <w:p w14:paraId="355A59CB" w14:textId="77777777" w:rsidR="008B1C1D" w:rsidRDefault="008B1C1D" w:rsidP="00D6535A">
      <w:pPr>
        <w:pStyle w:val="ListParagraph"/>
        <w:spacing w:after="0"/>
        <w:jc w:val="both"/>
        <w:rPr>
          <w:rFonts w:ascii="Cambria" w:hAnsi="Cambria"/>
          <w:color w:val="000000" w:themeColor="text1"/>
        </w:rPr>
      </w:pPr>
    </w:p>
    <w:p w14:paraId="439C9F8E" w14:textId="1712552D" w:rsidR="008B1C1D" w:rsidRPr="008B1C1D" w:rsidRDefault="008B1C1D" w:rsidP="00D6535A">
      <w:pPr>
        <w:pStyle w:val="ListParagraph"/>
        <w:numPr>
          <w:ilvl w:val="0"/>
          <w:numId w:val="13"/>
        </w:numPr>
        <w:spacing w:after="0"/>
        <w:ind w:hanging="720"/>
        <w:jc w:val="both"/>
        <w:rPr>
          <w:rFonts w:ascii="Cambria" w:hAnsi="Cambria"/>
          <w:color w:val="000000" w:themeColor="text1"/>
        </w:rPr>
      </w:pPr>
      <w:r w:rsidRPr="008B1C1D">
        <w:rPr>
          <w:rFonts w:ascii="Cambria" w:hAnsi="Cambria"/>
          <w:color w:val="000000" w:themeColor="text1"/>
        </w:rPr>
        <w:t>Having a total turnover of at least VND 10,000 billion per year within 03 years at the latest from the year of turnover or employing 3,000 or more regular employees annually according to the provisions of the labor laws no later than 03 years from the year of revenue.</w:t>
      </w:r>
    </w:p>
    <w:p w14:paraId="6AA1EF70" w14:textId="77777777" w:rsidR="008B1C1D" w:rsidRPr="008B1C1D" w:rsidRDefault="008B1C1D" w:rsidP="00D6535A">
      <w:pPr>
        <w:pStyle w:val="ListParagraph"/>
        <w:spacing w:after="0"/>
        <w:ind w:left="0"/>
        <w:jc w:val="both"/>
        <w:rPr>
          <w:rFonts w:ascii="Cambria" w:hAnsi="Cambria"/>
          <w:color w:val="000000" w:themeColor="text1"/>
        </w:rPr>
      </w:pPr>
    </w:p>
    <w:p w14:paraId="616B8842" w14:textId="131CC770" w:rsidR="008B1C1D" w:rsidRPr="008B1C1D" w:rsidRDefault="008B1C1D" w:rsidP="00D6535A">
      <w:pPr>
        <w:pStyle w:val="ListParagraph"/>
        <w:numPr>
          <w:ilvl w:val="0"/>
          <w:numId w:val="10"/>
        </w:numPr>
        <w:spacing w:after="0"/>
        <w:ind w:hanging="720"/>
        <w:jc w:val="both"/>
        <w:rPr>
          <w:rFonts w:ascii="Cambria" w:hAnsi="Cambria"/>
          <w:b/>
          <w:bCs/>
          <w:color w:val="000000" w:themeColor="text1"/>
        </w:rPr>
      </w:pPr>
      <w:r w:rsidRPr="008B1C1D">
        <w:rPr>
          <w:rFonts w:ascii="Cambria" w:hAnsi="Cambria"/>
          <w:b/>
          <w:bCs/>
          <w:color w:val="000000" w:themeColor="text1"/>
        </w:rPr>
        <w:t>Investment projects on construction of social housing, investment projects in rural areas employing 500 or more employees; investment projects employing people with disabilities by the provisions of the law on people with disabilities.</w:t>
      </w:r>
    </w:p>
    <w:p w14:paraId="75572D61" w14:textId="77777777" w:rsidR="008B1C1D" w:rsidRPr="008B1C1D" w:rsidRDefault="008B1C1D" w:rsidP="00D6535A">
      <w:pPr>
        <w:pStyle w:val="ListParagraph"/>
        <w:spacing w:after="0"/>
        <w:ind w:left="0" w:hanging="720"/>
        <w:jc w:val="both"/>
        <w:rPr>
          <w:rFonts w:ascii="Cambria" w:hAnsi="Cambria"/>
          <w:b/>
          <w:bCs/>
          <w:color w:val="000000" w:themeColor="text1"/>
        </w:rPr>
      </w:pPr>
    </w:p>
    <w:p w14:paraId="2C74E78A" w14:textId="6E52FD61" w:rsidR="008B1C1D" w:rsidRPr="008B1C1D" w:rsidRDefault="008B1C1D" w:rsidP="00D6535A">
      <w:pPr>
        <w:pStyle w:val="ListParagraph"/>
        <w:numPr>
          <w:ilvl w:val="0"/>
          <w:numId w:val="10"/>
        </w:numPr>
        <w:spacing w:after="0"/>
        <w:ind w:hanging="720"/>
        <w:jc w:val="both"/>
        <w:rPr>
          <w:rFonts w:ascii="Cambria" w:hAnsi="Cambria"/>
          <w:b/>
          <w:bCs/>
          <w:color w:val="000000" w:themeColor="text1"/>
        </w:rPr>
      </w:pPr>
      <w:r w:rsidRPr="008B1C1D">
        <w:rPr>
          <w:rFonts w:ascii="Cambria" w:hAnsi="Cambria"/>
          <w:b/>
          <w:bCs/>
          <w:color w:val="000000" w:themeColor="text1"/>
        </w:rPr>
        <w:t>High-tech enterprises, science and technology enterprises, science and technology organizations</w:t>
      </w:r>
    </w:p>
    <w:p w14:paraId="1BE35202" w14:textId="77777777" w:rsidR="008B1C1D" w:rsidRPr="008B1C1D" w:rsidRDefault="008B1C1D" w:rsidP="00D6535A">
      <w:pPr>
        <w:pStyle w:val="ListParagraph"/>
        <w:spacing w:after="0"/>
        <w:ind w:left="0"/>
        <w:jc w:val="both"/>
        <w:rPr>
          <w:rFonts w:ascii="Cambria" w:hAnsi="Cambria"/>
          <w:color w:val="000000" w:themeColor="text1"/>
        </w:rPr>
      </w:pPr>
    </w:p>
    <w:p w14:paraId="7ACDC507" w14:textId="3F05B146" w:rsidR="008B1C1D" w:rsidRPr="008B1C1D" w:rsidRDefault="008B1C1D" w:rsidP="00D6535A">
      <w:pPr>
        <w:pStyle w:val="ListParagraph"/>
        <w:numPr>
          <w:ilvl w:val="0"/>
          <w:numId w:val="14"/>
        </w:numPr>
        <w:spacing w:after="0"/>
        <w:ind w:hanging="720"/>
        <w:jc w:val="both"/>
        <w:rPr>
          <w:rFonts w:ascii="Cambria" w:hAnsi="Cambria"/>
          <w:color w:val="000000" w:themeColor="text1"/>
        </w:rPr>
      </w:pPr>
      <w:r w:rsidRPr="008B1C1D">
        <w:rPr>
          <w:rFonts w:ascii="Cambria" w:hAnsi="Cambria"/>
          <w:color w:val="000000" w:themeColor="text1"/>
        </w:rPr>
        <w:t>Projects with technology transfer on the list of technologies encouraged for transfer by the law on technology transfer;</w:t>
      </w:r>
    </w:p>
    <w:p w14:paraId="430CA77C" w14:textId="77777777" w:rsidR="008B1C1D" w:rsidRPr="008B1C1D" w:rsidRDefault="008B1C1D" w:rsidP="00D6535A">
      <w:pPr>
        <w:pStyle w:val="ListParagraph"/>
        <w:spacing w:after="0"/>
        <w:ind w:left="0" w:hanging="720"/>
        <w:jc w:val="both"/>
        <w:rPr>
          <w:rFonts w:ascii="Cambria" w:hAnsi="Cambria"/>
          <w:color w:val="000000" w:themeColor="text1"/>
        </w:rPr>
      </w:pPr>
    </w:p>
    <w:p w14:paraId="57822952" w14:textId="586EA936" w:rsidR="008B1C1D" w:rsidRPr="008B1C1D" w:rsidRDefault="008B1C1D" w:rsidP="00D6535A">
      <w:pPr>
        <w:pStyle w:val="ListParagraph"/>
        <w:numPr>
          <w:ilvl w:val="0"/>
          <w:numId w:val="14"/>
        </w:numPr>
        <w:spacing w:after="0"/>
        <w:ind w:hanging="720"/>
        <w:jc w:val="both"/>
        <w:rPr>
          <w:rFonts w:ascii="Cambria" w:hAnsi="Cambria"/>
          <w:color w:val="000000" w:themeColor="text1"/>
        </w:rPr>
      </w:pPr>
      <w:r w:rsidRPr="008B1C1D">
        <w:rPr>
          <w:rFonts w:ascii="Cambria" w:hAnsi="Cambria"/>
          <w:color w:val="000000" w:themeColor="text1"/>
        </w:rPr>
        <w:t>Technology incubators, science, and technology business incubators according to the provisions of the law on high technology, the law on science and technology or;</w:t>
      </w:r>
    </w:p>
    <w:p w14:paraId="3778107F" w14:textId="77777777" w:rsidR="008B1C1D" w:rsidRPr="008B1C1D" w:rsidRDefault="008B1C1D" w:rsidP="00D6535A">
      <w:pPr>
        <w:pStyle w:val="ListParagraph"/>
        <w:spacing w:after="0"/>
        <w:ind w:left="0" w:hanging="720"/>
        <w:jc w:val="both"/>
        <w:rPr>
          <w:rFonts w:ascii="Cambria" w:hAnsi="Cambria"/>
          <w:color w:val="000000" w:themeColor="text1"/>
        </w:rPr>
      </w:pPr>
    </w:p>
    <w:p w14:paraId="141DAC95" w14:textId="285E7434" w:rsidR="008B1C1D" w:rsidRPr="008B1C1D" w:rsidRDefault="008B1C1D" w:rsidP="00D6535A">
      <w:pPr>
        <w:pStyle w:val="ListParagraph"/>
        <w:numPr>
          <w:ilvl w:val="0"/>
          <w:numId w:val="14"/>
        </w:numPr>
        <w:spacing w:after="0"/>
        <w:ind w:hanging="720"/>
        <w:jc w:val="both"/>
        <w:rPr>
          <w:rFonts w:ascii="Cambria" w:hAnsi="Cambria"/>
          <w:color w:val="000000" w:themeColor="text1"/>
        </w:rPr>
      </w:pPr>
      <w:r w:rsidRPr="008B1C1D">
        <w:rPr>
          <w:rFonts w:ascii="Cambria" w:hAnsi="Cambria"/>
          <w:color w:val="000000" w:themeColor="text1"/>
        </w:rPr>
        <w:lastRenderedPageBreak/>
        <w:t>Enterprises produce and supply technology, equipment, products</w:t>
      </w:r>
      <w:r>
        <w:rPr>
          <w:rFonts w:ascii="Cambria" w:hAnsi="Cambria"/>
          <w:color w:val="000000" w:themeColor="text1"/>
        </w:rPr>
        <w:t>,</w:t>
      </w:r>
      <w:r w:rsidRPr="008B1C1D">
        <w:rPr>
          <w:rFonts w:ascii="Cambria" w:hAnsi="Cambria"/>
          <w:color w:val="000000" w:themeColor="text1"/>
        </w:rPr>
        <w:t xml:space="preserve"> and services to meet the requirements of environmental protection according to the provisions of the law on environmental protection.</w:t>
      </w:r>
    </w:p>
    <w:p w14:paraId="51729ECE" w14:textId="77777777" w:rsidR="008B1C1D" w:rsidRPr="008B1C1D" w:rsidRDefault="008B1C1D" w:rsidP="00D6535A">
      <w:pPr>
        <w:pStyle w:val="ListParagraph"/>
        <w:spacing w:after="0"/>
        <w:ind w:left="0" w:hanging="720"/>
        <w:jc w:val="both"/>
        <w:rPr>
          <w:rFonts w:ascii="Cambria" w:hAnsi="Cambria"/>
          <w:color w:val="000000" w:themeColor="text1"/>
        </w:rPr>
      </w:pPr>
    </w:p>
    <w:p w14:paraId="422C9AEE" w14:textId="10E967BA" w:rsidR="008B1C1D" w:rsidRPr="008B1C1D" w:rsidRDefault="008B1C1D" w:rsidP="00D6535A">
      <w:pPr>
        <w:pStyle w:val="ListParagraph"/>
        <w:numPr>
          <w:ilvl w:val="0"/>
          <w:numId w:val="10"/>
        </w:numPr>
        <w:spacing w:after="0"/>
        <w:ind w:hanging="720"/>
        <w:jc w:val="both"/>
        <w:rPr>
          <w:rFonts w:ascii="Cambria" w:hAnsi="Cambria"/>
          <w:b/>
          <w:bCs/>
          <w:color w:val="000000" w:themeColor="text1"/>
        </w:rPr>
      </w:pPr>
      <w:r w:rsidRPr="008B1C1D">
        <w:rPr>
          <w:rFonts w:ascii="Cambria" w:hAnsi="Cambria"/>
          <w:b/>
          <w:bCs/>
          <w:color w:val="000000" w:themeColor="text1"/>
        </w:rPr>
        <w:t>Innovative start-up investment projects, innovation centers, research and development centers.</w:t>
      </w:r>
    </w:p>
    <w:p w14:paraId="791E0D19" w14:textId="77777777" w:rsidR="008B1C1D" w:rsidRPr="008B1C1D" w:rsidRDefault="008B1C1D" w:rsidP="00D6535A">
      <w:pPr>
        <w:pStyle w:val="ListParagraph"/>
        <w:spacing w:after="0"/>
        <w:ind w:hanging="720"/>
        <w:jc w:val="both"/>
        <w:rPr>
          <w:rFonts w:ascii="Cambria" w:hAnsi="Cambria"/>
          <w:b/>
          <w:bCs/>
          <w:color w:val="000000" w:themeColor="text1"/>
        </w:rPr>
      </w:pPr>
    </w:p>
    <w:p w14:paraId="4E319F3B" w14:textId="44407D91" w:rsidR="008B1C1D" w:rsidRPr="008B1C1D" w:rsidRDefault="008B1C1D" w:rsidP="00D6535A">
      <w:pPr>
        <w:pStyle w:val="ListParagraph"/>
        <w:numPr>
          <w:ilvl w:val="0"/>
          <w:numId w:val="10"/>
        </w:numPr>
        <w:spacing w:after="0"/>
        <w:ind w:hanging="720"/>
        <w:jc w:val="both"/>
        <w:rPr>
          <w:rFonts w:ascii="Cambria" w:hAnsi="Cambria"/>
          <w:b/>
          <w:bCs/>
          <w:color w:val="000000" w:themeColor="text1"/>
        </w:rPr>
      </w:pPr>
      <w:r w:rsidRPr="008B1C1D">
        <w:rPr>
          <w:rFonts w:ascii="Cambria" w:hAnsi="Cambria"/>
          <w:b/>
          <w:bCs/>
          <w:color w:val="000000" w:themeColor="text1"/>
        </w:rPr>
        <w:t>Investment and business in the product distribution chain of small and medium enterprises or; business investment in technical facilities to support small and medium-sized enterprises, small and medium-sized business incubators; invest in the business in the co-working space to support small and medium-sized enterprises and start-ups under the provisions of the law on supporting small and medium-sized enterprises.</w:t>
      </w:r>
    </w:p>
    <w:p w14:paraId="60B6802F" w14:textId="77777777" w:rsidR="008B1C1D" w:rsidRPr="008B1C1D" w:rsidRDefault="008B1C1D" w:rsidP="00D6535A">
      <w:pPr>
        <w:pStyle w:val="ListParagraph"/>
        <w:spacing w:after="0"/>
        <w:ind w:left="0"/>
        <w:jc w:val="both"/>
        <w:rPr>
          <w:rFonts w:ascii="Cambria" w:hAnsi="Cambria"/>
          <w:color w:val="000000" w:themeColor="text1"/>
        </w:rPr>
      </w:pPr>
    </w:p>
    <w:p w14:paraId="54607E8A" w14:textId="77777777" w:rsidR="008B1C1D" w:rsidRPr="008B1C1D" w:rsidRDefault="008B1C1D" w:rsidP="00D6535A">
      <w:pPr>
        <w:pStyle w:val="ListParagraph"/>
        <w:spacing w:after="0"/>
        <w:ind w:left="0"/>
        <w:jc w:val="both"/>
        <w:rPr>
          <w:rFonts w:ascii="Cambria" w:hAnsi="Cambria"/>
          <w:b/>
          <w:bCs/>
          <w:i/>
          <w:iCs/>
          <w:color w:val="000000" w:themeColor="text1"/>
        </w:rPr>
      </w:pPr>
      <w:r w:rsidRPr="008B1C1D">
        <w:rPr>
          <w:rFonts w:ascii="Cambria" w:hAnsi="Cambria"/>
          <w:b/>
          <w:bCs/>
          <w:i/>
          <w:iCs/>
          <w:color w:val="000000" w:themeColor="text1"/>
        </w:rPr>
        <w:t>FDI enterprises need to note:</w:t>
      </w:r>
    </w:p>
    <w:p w14:paraId="14E34A74" w14:textId="77777777" w:rsidR="008B1C1D" w:rsidRPr="008B1C1D" w:rsidRDefault="008B1C1D" w:rsidP="00D6535A">
      <w:pPr>
        <w:pStyle w:val="ListParagraph"/>
        <w:spacing w:after="0"/>
        <w:ind w:left="0"/>
        <w:jc w:val="both"/>
        <w:rPr>
          <w:rFonts w:ascii="Cambria" w:hAnsi="Cambria"/>
          <w:color w:val="000000" w:themeColor="text1"/>
        </w:rPr>
      </w:pPr>
    </w:p>
    <w:p w14:paraId="6EAC0134" w14:textId="3CAA4C00" w:rsidR="008B1C1D" w:rsidRPr="008B1C1D" w:rsidRDefault="008B1C1D" w:rsidP="00922645">
      <w:pPr>
        <w:pStyle w:val="ListParagraph"/>
        <w:numPr>
          <w:ilvl w:val="0"/>
          <w:numId w:val="14"/>
        </w:numPr>
        <w:spacing w:after="0"/>
        <w:ind w:hanging="720"/>
        <w:jc w:val="both"/>
        <w:rPr>
          <w:rFonts w:ascii="Cambria" w:hAnsi="Cambria"/>
          <w:color w:val="000000" w:themeColor="text1"/>
        </w:rPr>
      </w:pPr>
      <w:r w:rsidRPr="008B1C1D">
        <w:rPr>
          <w:rFonts w:ascii="Cambria" w:hAnsi="Cambria"/>
          <w:color w:val="000000" w:themeColor="text1"/>
        </w:rPr>
        <w:t>Investment incentives do not apply to projects:</w:t>
      </w:r>
    </w:p>
    <w:p w14:paraId="57B72984" w14:textId="77777777" w:rsidR="008B1C1D" w:rsidRPr="008B1C1D" w:rsidRDefault="008B1C1D" w:rsidP="00D6535A">
      <w:pPr>
        <w:pStyle w:val="ListParagraph"/>
        <w:spacing w:after="0"/>
        <w:ind w:left="0"/>
        <w:jc w:val="both"/>
        <w:rPr>
          <w:rFonts w:ascii="Cambria" w:hAnsi="Cambria"/>
          <w:color w:val="000000" w:themeColor="text1"/>
        </w:rPr>
      </w:pPr>
    </w:p>
    <w:p w14:paraId="28C09016" w14:textId="673E6682" w:rsidR="008B1C1D" w:rsidRPr="008B1C1D" w:rsidRDefault="008B1C1D" w:rsidP="00D6535A">
      <w:pPr>
        <w:pStyle w:val="ListParagraph"/>
        <w:numPr>
          <w:ilvl w:val="0"/>
          <w:numId w:val="15"/>
        </w:numPr>
        <w:spacing w:after="0"/>
        <w:ind w:left="1418" w:hanging="709"/>
        <w:jc w:val="both"/>
        <w:rPr>
          <w:rFonts w:ascii="Cambria" w:hAnsi="Cambria"/>
          <w:color w:val="000000" w:themeColor="text1"/>
        </w:rPr>
      </w:pPr>
      <w:r w:rsidRPr="008B1C1D">
        <w:rPr>
          <w:rFonts w:ascii="Cambria" w:hAnsi="Cambria"/>
          <w:color w:val="000000" w:themeColor="text1"/>
        </w:rPr>
        <w:t>Investment projects on mineral exploitation;</w:t>
      </w:r>
    </w:p>
    <w:p w14:paraId="7E645B61" w14:textId="77777777" w:rsidR="008B1C1D" w:rsidRPr="008B1C1D" w:rsidRDefault="008B1C1D" w:rsidP="00D6535A">
      <w:pPr>
        <w:pStyle w:val="ListParagraph"/>
        <w:spacing w:after="0"/>
        <w:ind w:left="1418" w:hanging="709"/>
        <w:jc w:val="both"/>
        <w:rPr>
          <w:rFonts w:ascii="Cambria" w:hAnsi="Cambria"/>
          <w:color w:val="000000" w:themeColor="text1"/>
        </w:rPr>
      </w:pPr>
    </w:p>
    <w:p w14:paraId="6B128BB3" w14:textId="0047B75E" w:rsidR="008B1C1D" w:rsidRPr="008B1C1D" w:rsidRDefault="008B1C1D" w:rsidP="00D6535A">
      <w:pPr>
        <w:pStyle w:val="ListParagraph"/>
        <w:numPr>
          <w:ilvl w:val="0"/>
          <w:numId w:val="15"/>
        </w:numPr>
        <w:spacing w:after="0"/>
        <w:ind w:left="1418" w:hanging="709"/>
        <w:jc w:val="both"/>
        <w:rPr>
          <w:rFonts w:ascii="Cambria" w:hAnsi="Cambria"/>
          <w:color w:val="000000" w:themeColor="text1"/>
        </w:rPr>
      </w:pPr>
      <w:r w:rsidRPr="008B1C1D">
        <w:rPr>
          <w:rFonts w:ascii="Cambria" w:hAnsi="Cambria"/>
          <w:color w:val="000000" w:themeColor="text1"/>
        </w:rPr>
        <w:t>Investment projects on production and trading of goods and services subject to special consumption tax, except for projects on production of cars, aircraft, and yachts;</w:t>
      </w:r>
    </w:p>
    <w:p w14:paraId="41864EC8" w14:textId="77777777" w:rsidR="008B1C1D" w:rsidRPr="008B1C1D" w:rsidRDefault="008B1C1D" w:rsidP="00D6535A">
      <w:pPr>
        <w:pStyle w:val="ListParagraph"/>
        <w:spacing w:after="0"/>
        <w:ind w:left="1418" w:hanging="709"/>
        <w:jc w:val="both"/>
        <w:rPr>
          <w:rFonts w:ascii="Cambria" w:hAnsi="Cambria"/>
          <w:color w:val="000000" w:themeColor="text1"/>
        </w:rPr>
      </w:pPr>
    </w:p>
    <w:p w14:paraId="58893921" w14:textId="1E39E12B" w:rsidR="008B1C1D" w:rsidRPr="008B1C1D" w:rsidRDefault="008B1C1D" w:rsidP="00D6535A">
      <w:pPr>
        <w:pStyle w:val="ListParagraph"/>
        <w:numPr>
          <w:ilvl w:val="0"/>
          <w:numId w:val="15"/>
        </w:numPr>
        <w:spacing w:after="0"/>
        <w:ind w:left="1418" w:hanging="709"/>
        <w:jc w:val="both"/>
        <w:rPr>
          <w:rFonts w:ascii="Cambria" w:hAnsi="Cambria"/>
          <w:color w:val="000000" w:themeColor="text1"/>
        </w:rPr>
      </w:pPr>
      <w:r w:rsidRPr="008B1C1D">
        <w:rPr>
          <w:rFonts w:ascii="Cambria" w:hAnsi="Cambria"/>
          <w:color w:val="000000" w:themeColor="text1"/>
        </w:rPr>
        <w:t>Investment projects to build commercial houses under the law on housing.</w:t>
      </w:r>
    </w:p>
    <w:p w14:paraId="216DA045" w14:textId="77777777" w:rsidR="008B1C1D" w:rsidRDefault="008B1C1D" w:rsidP="00D6535A">
      <w:pPr>
        <w:pStyle w:val="ListParagraph"/>
        <w:spacing w:after="0"/>
        <w:ind w:left="0"/>
        <w:jc w:val="both"/>
        <w:rPr>
          <w:rFonts w:ascii="Cambria" w:hAnsi="Cambria"/>
          <w:color w:val="000000" w:themeColor="text1"/>
        </w:rPr>
      </w:pPr>
    </w:p>
    <w:p w14:paraId="03253699" w14:textId="58586C25" w:rsidR="008B1C1D" w:rsidRDefault="008B1C1D" w:rsidP="00D6535A">
      <w:pPr>
        <w:pStyle w:val="ListParagraph"/>
        <w:numPr>
          <w:ilvl w:val="0"/>
          <w:numId w:val="14"/>
        </w:numPr>
        <w:spacing w:after="0"/>
        <w:ind w:hanging="720"/>
        <w:jc w:val="both"/>
        <w:rPr>
          <w:rFonts w:ascii="Cambria" w:hAnsi="Cambria"/>
          <w:color w:val="000000" w:themeColor="text1"/>
        </w:rPr>
      </w:pPr>
      <w:r w:rsidRPr="008B1C1D">
        <w:rPr>
          <w:rFonts w:ascii="Cambria" w:hAnsi="Cambria"/>
          <w:color w:val="000000" w:themeColor="text1"/>
        </w:rPr>
        <w:t>Investment incentives are applied to new investment projects and expansion investment projects.</w:t>
      </w:r>
    </w:p>
    <w:p w14:paraId="5339BF53" w14:textId="696DC4F7" w:rsidR="008B1C1D" w:rsidRDefault="008B1C1D" w:rsidP="00D6535A">
      <w:pPr>
        <w:pStyle w:val="ListParagraph"/>
        <w:spacing w:after="0"/>
        <w:jc w:val="both"/>
        <w:rPr>
          <w:rFonts w:ascii="Cambria" w:hAnsi="Cambria"/>
          <w:color w:val="000000" w:themeColor="text1"/>
        </w:rPr>
      </w:pPr>
    </w:p>
    <w:p w14:paraId="332A3490" w14:textId="16ED1EDA" w:rsidR="008B1C1D" w:rsidRPr="008B1C1D" w:rsidRDefault="008B1C1D" w:rsidP="00D6535A">
      <w:pPr>
        <w:pStyle w:val="ListParagraph"/>
        <w:spacing w:after="0"/>
        <w:jc w:val="right"/>
        <w:rPr>
          <w:rFonts w:ascii="Cambria" w:hAnsi="Cambria"/>
          <w:b/>
          <w:bCs/>
          <w:i/>
          <w:iCs/>
          <w:color w:val="000000" w:themeColor="text1"/>
          <w:u w:val="single"/>
        </w:rPr>
      </w:pPr>
      <w:r>
        <w:rPr>
          <w:rFonts w:ascii="Cambria" w:hAnsi="Cambria"/>
          <w:b/>
          <w:bCs/>
          <w:i/>
          <w:iCs/>
          <w:color w:val="000000" w:themeColor="text1"/>
          <w:u w:val="single"/>
        </w:rPr>
        <w:t>ADK</w:t>
      </w:r>
      <w:r w:rsidR="00434907">
        <w:rPr>
          <w:rFonts w:ascii="Cambria" w:hAnsi="Cambria"/>
          <w:b/>
          <w:bCs/>
          <w:i/>
          <w:iCs/>
          <w:color w:val="000000" w:themeColor="text1"/>
          <w:u w:val="single"/>
        </w:rPr>
        <w:t xml:space="preserve"> &amp; Co </w:t>
      </w:r>
      <w:r>
        <w:rPr>
          <w:rFonts w:ascii="Cambria" w:hAnsi="Cambria"/>
          <w:b/>
          <w:bCs/>
          <w:i/>
          <w:iCs/>
          <w:color w:val="000000" w:themeColor="text1"/>
          <w:u w:val="single"/>
        </w:rPr>
        <w:t xml:space="preserve"> Vietnam Lawyers </w:t>
      </w:r>
    </w:p>
    <w:sectPr w:rsidR="008B1C1D" w:rsidRPr="008B1C1D" w:rsidSect="00D6535A">
      <w:headerReference w:type="default" r:id="rId10"/>
      <w:footerReference w:type="default" r:id="rId11"/>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D4BEA" w14:textId="77777777" w:rsidR="00F343C9" w:rsidRDefault="00F343C9" w:rsidP="006914EA">
      <w:pPr>
        <w:spacing w:after="0" w:line="240" w:lineRule="auto"/>
      </w:pPr>
      <w:r>
        <w:separator/>
      </w:r>
    </w:p>
  </w:endnote>
  <w:endnote w:type="continuationSeparator" w:id="0">
    <w:p w14:paraId="594A6B35" w14:textId="77777777" w:rsidR="00F343C9" w:rsidRDefault="00F343C9" w:rsidP="0069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5D1AD" w14:textId="77777777" w:rsidR="006914EA" w:rsidRPr="00157747" w:rsidRDefault="006914EA" w:rsidP="00157747">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after="0" w:line="264" w:lineRule="auto"/>
      <w:jc w:val="center"/>
      <w:rPr>
        <w:rFonts w:ascii="Cambria" w:hAnsi="Cambria"/>
        <w:b/>
        <w:sz w:val="18"/>
        <w:szCs w:val="18"/>
      </w:rPr>
    </w:pPr>
    <w:r w:rsidRPr="00157747">
      <w:rPr>
        <w:rFonts w:ascii="Cambria" w:hAnsi="Cambria"/>
        <w:b/>
        <w:sz w:val="18"/>
        <w:szCs w:val="18"/>
        <w:lang w:val="en"/>
      </w:rPr>
      <w:t>ADK &amp; Co Vietnam Lawyers</w:t>
    </w:r>
  </w:p>
  <w:p w14:paraId="4819A1A1" w14:textId="77777777" w:rsidR="006914EA" w:rsidRPr="00157747" w:rsidRDefault="00F343C9" w:rsidP="00157747">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after="0" w:line="264" w:lineRule="auto"/>
      <w:jc w:val="center"/>
      <w:rPr>
        <w:rFonts w:ascii="Cambria" w:hAnsi="Cambria"/>
        <w:sz w:val="18"/>
        <w:szCs w:val="18"/>
      </w:rPr>
    </w:pPr>
    <w:hyperlink r:id="rId1" w:history="1">
      <w:r w:rsidR="006914EA" w:rsidRPr="00157747">
        <w:rPr>
          <w:rStyle w:val="Hyperlink"/>
          <w:rFonts w:ascii="Cambria" w:hAnsi="Cambria"/>
          <w:sz w:val="18"/>
          <w:szCs w:val="18"/>
          <w:lang w:val="en"/>
        </w:rPr>
        <w:t>www.adk-lawyers.com</w:t>
      </w:r>
    </w:hyperlink>
  </w:p>
  <w:p w14:paraId="5090C7C6" w14:textId="77777777" w:rsidR="006914EA" w:rsidRDefault="0069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D6381" w14:textId="77777777" w:rsidR="00F343C9" w:rsidRDefault="00F343C9" w:rsidP="006914EA">
      <w:pPr>
        <w:spacing w:after="0" w:line="240" w:lineRule="auto"/>
      </w:pPr>
      <w:r>
        <w:separator/>
      </w:r>
    </w:p>
  </w:footnote>
  <w:footnote w:type="continuationSeparator" w:id="0">
    <w:p w14:paraId="03339842" w14:textId="77777777" w:rsidR="00F343C9" w:rsidRDefault="00F343C9" w:rsidP="0069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62D1" w14:textId="3C1DBA90" w:rsidR="006914EA" w:rsidRDefault="006914EA">
    <w:pPr>
      <w:pStyle w:val="Header"/>
    </w:pPr>
    <w:r>
      <w:rPr>
        <w:noProof/>
      </w:rPr>
      <w:drawing>
        <wp:anchor distT="0" distB="0" distL="114300" distR="114300" simplePos="0" relativeHeight="251659264" behindDoc="1" locked="0" layoutInCell="1" allowOverlap="1" wp14:anchorId="5B8AF237" wp14:editId="7FA6B3BD">
          <wp:simplePos x="0" y="0"/>
          <wp:positionH relativeFrom="page">
            <wp:posOffset>0</wp:posOffset>
          </wp:positionH>
          <wp:positionV relativeFrom="paragraph">
            <wp:posOffset>7620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6050" cy="144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60433"/>
    <w:multiLevelType w:val="hybridMultilevel"/>
    <w:tmpl w:val="B0148EF4"/>
    <w:lvl w:ilvl="0" w:tplc="8CFE688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50E4"/>
    <w:multiLevelType w:val="hybridMultilevel"/>
    <w:tmpl w:val="F36E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C525D"/>
    <w:multiLevelType w:val="hybridMultilevel"/>
    <w:tmpl w:val="202A3CB6"/>
    <w:lvl w:ilvl="0" w:tplc="8CFE688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82B0A"/>
    <w:multiLevelType w:val="hybridMultilevel"/>
    <w:tmpl w:val="EC2AA640"/>
    <w:lvl w:ilvl="0" w:tplc="0409000F">
      <w:start w:val="1"/>
      <w:numFmt w:val="decimal"/>
      <w:lvlText w:val="%1."/>
      <w:lvlJc w:val="left"/>
      <w:pPr>
        <w:ind w:left="720" w:hanging="360"/>
      </w:pPr>
      <w:rPr>
        <w:rFonts w:hint="default"/>
      </w:rPr>
    </w:lvl>
    <w:lvl w:ilvl="1" w:tplc="84A65D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C6CD3"/>
    <w:multiLevelType w:val="hybridMultilevel"/>
    <w:tmpl w:val="5A08799C"/>
    <w:lvl w:ilvl="0" w:tplc="EEAE3E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356C2"/>
    <w:multiLevelType w:val="hybridMultilevel"/>
    <w:tmpl w:val="4FA8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01CCC"/>
    <w:multiLevelType w:val="hybridMultilevel"/>
    <w:tmpl w:val="024216C0"/>
    <w:lvl w:ilvl="0" w:tplc="EEAE3E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076B8"/>
    <w:multiLevelType w:val="hybridMultilevel"/>
    <w:tmpl w:val="6A70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F78B6"/>
    <w:multiLevelType w:val="hybridMultilevel"/>
    <w:tmpl w:val="9B209266"/>
    <w:lvl w:ilvl="0" w:tplc="EEAE3E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11A58"/>
    <w:multiLevelType w:val="hybridMultilevel"/>
    <w:tmpl w:val="9954D614"/>
    <w:lvl w:ilvl="0" w:tplc="EEAE3E0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F5E19"/>
    <w:multiLevelType w:val="hybridMultilevel"/>
    <w:tmpl w:val="7212A1D4"/>
    <w:lvl w:ilvl="0" w:tplc="EEAE3E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F7D1E"/>
    <w:multiLevelType w:val="hybridMultilevel"/>
    <w:tmpl w:val="8250A9DC"/>
    <w:lvl w:ilvl="0" w:tplc="8CFE688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B150E"/>
    <w:multiLevelType w:val="hybridMultilevel"/>
    <w:tmpl w:val="E01AFFB4"/>
    <w:lvl w:ilvl="0" w:tplc="8CFE688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F1E6F"/>
    <w:multiLevelType w:val="hybridMultilevel"/>
    <w:tmpl w:val="5FB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96330"/>
    <w:multiLevelType w:val="hybridMultilevel"/>
    <w:tmpl w:val="D2F832AA"/>
    <w:lvl w:ilvl="0" w:tplc="EEAE3E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9"/>
  </w:num>
  <w:num w:numId="5">
    <w:abstractNumId w:val="4"/>
  </w:num>
  <w:num w:numId="6">
    <w:abstractNumId w:val="14"/>
  </w:num>
  <w:num w:numId="7">
    <w:abstractNumId w:val="1"/>
  </w:num>
  <w:num w:numId="8">
    <w:abstractNumId w:val="6"/>
  </w:num>
  <w:num w:numId="9">
    <w:abstractNumId w:val="13"/>
  </w:num>
  <w:num w:numId="10">
    <w:abstractNumId w:val="5"/>
  </w:num>
  <w:num w:numId="11">
    <w:abstractNumId w:val="0"/>
  </w:num>
  <w:num w:numId="12">
    <w:abstractNumId w:val="11"/>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jQ0MTC2MLM0MbJQ0lEKTi0uzszPAykwrAUAvztp9iwAAAA="/>
  </w:docVars>
  <w:rsids>
    <w:rsidRoot w:val="006914EA"/>
    <w:rsid w:val="00121247"/>
    <w:rsid w:val="00157747"/>
    <w:rsid w:val="002022F5"/>
    <w:rsid w:val="0022252F"/>
    <w:rsid w:val="002B4EFD"/>
    <w:rsid w:val="00376C16"/>
    <w:rsid w:val="003D1634"/>
    <w:rsid w:val="003D7CAE"/>
    <w:rsid w:val="003E519C"/>
    <w:rsid w:val="00434907"/>
    <w:rsid w:val="004479CF"/>
    <w:rsid w:val="005636B5"/>
    <w:rsid w:val="005A2731"/>
    <w:rsid w:val="00681D29"/>
    <w:rsid w:val="006914EA"/>
    <w:rsid w:val="007075DF"/>
    <w:rsid w:val="007718F6"/>
    <w:rsid w:val="00774244"/>
    <w:rsid w:val="00774DE2"/>
    <w:rsid w:val="008904F4"/>
    <w:rsid w:val="008A5161"/>
    <w:rsid w:val="008B1C1D"/>
    <w:rsid w:val="008B5FF3"/>
    <w:rsid w:val="008C582F"/>
    <w:rsid w:val="00904E72"/>
    <w:rsid w:val="00922645"/>
    <w:rsid w:val="009C11E6"/>
    <w:rsid w:val="009C3910"/>
    <w:rsid w:val="00AF6D28"/>
    <w:rsid w:val="00B66118"/>
    <w:rsid w:val="00B916BC"/>
    <w:rsid w:val="00BB41C0"/>
    <w:rsid w:val="00BC2C04"/>
    <w:rsid w:val="00C72EFC"/>
    <w:rsid w:val="00D0747C"/>
    <w:rsid w:val="00D6535A"/>
    <w:rsid w:val="00D80D46"/>
    <w:rsid w:val="00D96091"/>
    <w:rsid w:val="00DC4BEE"/>
    <w:rsid w:val="00F17159"/>
    <w:rsid w:val="00F3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25324"/>
  <w15:chartTrackingRefBased/>
  <w15:docId w15:val="{9E9AFD03-5578-456E-95D9-032EBA17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4EA"/>
  </w:style>
  <w:style w:type="paragraph" w:styleId="Footer">
    <w:name w:val="footer"/>
    <w:basedOn w:val="Normal"/>
    <w:link w:val="FooterChar"/>
    <w:uiPriority w:val="99"/>
    <w:unhideWhenUsed/>
    <w:rsid w:val="0069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4EA"/>
  </w:style>
  <w:style w:type="character" w:styleId="Hyperlink">
    <w:name w:val="Hyperlink"/>
    <w:basedOn w:val="DefaultParagraphFont"/>
    <w:uiPriority w:val="99"/>
    <w:semiHidden/>
    <w:unhideWhenUsed/>
    <w:rsid w:val="006914EA"/>
    <w:rPr>
      <w:color w:val="0000FF"/>
      <w:u w:val="single"/>
    </w:rPr>
  </w:style>
  <w:style w:type="paragraph" w:styleId="ListParagraph">
    <w:name w:val="List Paragraph"/>
    <w:basedOn w:val="Normal"/>
    <w:uiPriority w:val="34"/>
    <w:qFormat/>
    <w:rsid w:val="00681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193994">
      <w:bodyDiv w:val="1"/>
      <w:marLeft w:val="0"/>
      <w:marRight w:val="0"/>
      <w:marTop w:val="0"/>
      <w:marBottom w:val="0"/>
      <w:divBdr>
        <w:top w:val="none" w:sz="0" w:space="0" w:color="auto"/>
        <w:left w:val="none" w:sz="0" w:space="0" w:color="auto"/>
        <w:bottom w:val="none" w:sz="0" w:space="0" w:color="auto"/>
        <w:right w:val="none" w:sz="0" w:space="0" w:color="auto"/>
      </w:divBdr>
      <w:divsChild>
        <w:div w:id="1842506735">
          <w:marLeft w:val="0"/>
          <w:marRight w:val="0"/>
          <w:marTop w:val="0"/>
          <w:marBottom w:val="225"/>
          <w:divBdr>
            <w:top w:val="none" w:sz="0" w:space="0" w:color="auto"/>
            <w:left w:val="none" w:sz="0" w:space="0" w:color="auto"/>
            <w:bottom w:val="none" w:sz="0" w:space="0" w:color="auto"/>
            <w:right w:val="none" w:sz="0" w:space="0" w:color="auto"/>
          </w:divBdr>
        </w:div>
        <w:div w:id="1436361381">
          <w:marLeft w:val="0"/>
          <w:marRight w:val="0"/>
          <w:marTop w:val="0"/>
          <w:marBottom w:val="0"/>
          <w:divBdr>
            <w:top w:val="none" w:sz="0" w:space="0" w:color="auto"/>
            <w:left w:val="none" w:sz="0" w:space="0" w:color="auto"/>
            <w:bottom w:val="none" w:sz="0" w:space="0" w:color="auto"/>
            <w:right w:val="none" w:sz="0" w:space="0" w:color="auto"/>
          </w:divBdr>
          <w:divsChild>
            <w:div w:id="1705591338">
              <w:marLeft w:val="0"/>
              <w:marRight w:val="0"/>
              <w:marTop w:val="0"/>
              <w:marBottom w:val="0"/>
              <w:divBdr>
                <w:top w:val="none" w:sz="0" w:space="0" w:color="auto"/>
                <w:left w:val="none" w:sz="0" w:space="0" w:color="auto"/>
                <w:bottom w:val="none" w:sz="0" w:space="0" w:color="auto"/>
                <w:right w:val="none" w:sz="0" w:space="0" w:color="auto"/>
              </w:divBdr>
              <w:divsChild>
                <w:div w:id="886260118">
                  <w:marLeft w:val="0"/>
                  <w:marRight w:val="0"/>
                  <w:marTop w:val="0"/>
                  <w:marBottom w:val="300"/>
                  <w:divBdr>
                    <w:top w:val="none" w:sz="0" w:space="0" w:color="auto"/>
                    <w:left w:val="none" w:sz="0" w:space="0" w:color="auto"/>
                    <w:bottom w:val="none" w:sz="0" w:space="0" w:color="auto"/>
                    <w:right w:val="none" w:sz="0" w:space="0" w:color="auto"/>
                  </w:divBdr>
                  <w:divsChild>
                    <w:div w:id="751319165">
                      <w:marLeft w:val="0"/>
                      <w:marRight w:val="0"/>
                      <w:marTop w:val="0"/>
                      <w:marBottom w:val="240"/>
                      <w:divBdr>
                        <w:top w:val="none" w:sz="0" w:space="0" w:color="auto"/>
                        <w:left w:val="none" w:sz="0" w:space="0" w:color="auto"/>
                        <w:bottom w:val="none" w:sz="0" w:space="0" w:color="auto"/>
                        <w:right w:val="none" w:sz="0" w:space="0" w:color="auto"/>
                      </w:divBdr>
                    </w:div>
                  </w:divsChild>
                </w:div>
                <w:div w:id="833253763">
                  <w:marLeft w:val="0"/>
                  <w:marRight w:val="0"/>
                  <w:marTop w:val="0"/>
                  <w:marBottom w:val="240"/>
                  <w:divBdr>
                    <w:top w:val="none" w:sz="0" w:space="0" w:color="auto"/>
                    <w:left w:val="none" w:sz="0" w:space="0" w:color="auto"/>
                    <w:bottom w:val="none" w:sz="0" w:space="0" w:color="auto"/>
                    <w:right w:val="none" w:sz="0" w:space="0" w:color="auto"/>
                  </w:divBdr>
                </w:div>
                <w:div w:id="1039236273">
                  <w:marLeft w:val="0"/>
                  <w:marRight w:val="0"/>
                  <w:marTop w:val="0"/>
                  <w:marBottom w:val="150"/>
                  <w:divBdr>
                    <w:top w:val="none" w:sz="0" w:space="0" w:color="auto"/>
                    <w:left w:val="none" w:sz="0" w:space="0" w:color="auto"/>
                    <w:bottom w:val="none" w:sz="0" w:space="0" w:color="auto"/>
                    <w:right w:val="none" w:sz="0" w:space="0" w:color="auto"/>
                  </w:divBdr>
                  <w:divsChild>
                    <w:div w:id="1641037332">
                      <w:marLeft w:val="0"/>
                      <w:marRight w:val="0"/>
                      <w:marTop w:val="0"/>
                      <w:marBottom w:val="0"/>
                      <w:divBdr>
                        <w:top w:val="none" w:sz="0" w:space="0" w:color="auto"/>
                        <w:left w:val="none" w:sz="0" w:space="0" w:color="auto"/>
                        <w:bottom w:val="none" w:sz="0" w:space="0" w:color="auto"/>
                        <w:right w:val="none" w:sz="0" w:space="0" w:color="auto"/>
                      </w:divBdr>
                    </w:div>
                    <w:div w:id="316342290">
                      <w:marLeft w:val="0"/>
                      <w:marRight w:val="0"/>
                      <w:marTop w:val="0"/>
                      <w:marBottom w:val="0"/>
                      <w:divBdr>
                        <w:top w:val="none" w:sz="0" w:space="0" w:color="auto"/>
                        <w:left w:val="none" w:sz="0" w:space="0" w:color="auto"/>
                        <w:bottom w:val="none" w:sz="0" w:space="0" w:color="auto"/>
                        <w:right w:val="none" w:sz="0" w:space="0" w:color="auto"/>
                      </w:divBdr>
                    </w:div>
                  </w:divsChild>
                </w:div>
                <w:div w:id="1607419758">
                  <w:marLeft w:val="0"/>
                  <w:marRight w:val="0"/>
                  <w:marTop w:val="0"/>
                  <w:marBottom w:val="225"/>
                  <w:divBdr>
                    <w:top w:val="none" w:sz="0" w:space="0" w:color="auto"/>
                    <w:left w:val="none" w:sz="0" w:space="0" w:color="auto"/>
                    <w:bottom w:val="none" w:sz="0" w:space="0" w:color="auto"/>
                    <w:right w:val="none" w:sz="0" w:space="0" w:color="auto"/>
                  </w:divBdr>
                  <w:divsChild>
                    <w:div w:id="1933777354">
                      <w:marLeft w:val="0"/>
                      <w:marRight w:val="0"/>
                      <w:marTop w:val="0"/>
                      <w:marBottom w:val="0"/>
                      <w:divBdr>
                        <w:top w:val="none" w:sz="0" w:space="0" w:color="auto"/>
                        <w:left w:val="none" w:sz="0" w:space="0" w:color="auto"/>
                        <w:bottom w:val="none" w:sz="0" w:space="0" w:color="auto"/>
                        <w:right w:val="none" w:sz="0" w:space="0" w:color="auto"/>
                      </w:divBdr>
                      <w:divsChild>
                        <w:div w:id="1545558092">
                          <w:marLeft w:val="0"/>
                          <w:marRight w:val="0"/>
                          <w:marTop w:val="75"/>
                          <w:marBottom w:val="0"/>
                          <w:divBdr>
                            <w:top w:val="none" w:sz="0" w:space="0" w:color="auto"/>
                            <w:left w:val="none" w:sz="0" w:space="0" w:color="auto"/>
                            <w:bottom w:val="none" w:sz="0" w:space="0" w:color="auto"/>
                            <w:right w:val="none" w:sz="0" w:space="0" w:color="auto"/>
                          </w:divBdr>
                          <w:divsChild>
                            <w:div w:id="101207580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sChild>
            </w:div>
          </w:divsChild>
        </w:div>
      </w:divsChild>
    </w:div>
    <w:div w:id="18295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F14EA-311B-49FF-B33F-AE31B257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61BB0-DC1C-47C2-8D8C-4E8E28032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4ED4C-9088-422B-BFD3-8EA1BCCD1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LIEN</dc:creator>
  <cp:keywords/>
  <dc:description/>
  <cp:lastModifiedBy>Tran Nhat Nghi</cp:lastModifiedBy>
  <cp:revision>16</cp:revision>
  <dcterms:created xsi:type="dcterms:W3CDTF">2021-09-02T15:05:00Z</dcterms:created>
  <dcterms:modified xsi:type="dcterms:W3CDTF">2021-09-06T04:09:00Z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