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B2E2" w14:textId="77777777" w:rsidR="00626F47" w:rsidRDefault="00626F47" w:rsidP="00926DC1">
      <w:pPr>
        <w:spacing w:line="259" w:lineRule="auto"/>
        <w:ind w:firstLine="720"/>
        <w:rPr>
          <w:rFonts w:ascii="Cambria" w:hAnsi="Cambria"/>
          <w:sz w:val="22"/>
          <w:szCs w:val="22"/>
          <w:lang w:val="en-US"/>
        </w:rPr>
      </w:pPr>
    </w:p>
    <w:p w14:paraId="586295D0" w14:textId="5F2E21D3" w:rsidR="00626F47" w:rsidRDefault="00626F47" w:rsidP="00926DC1">
      <w:pPr>
        <w:spacing w:line="259" w:lineRule="auto"/>
        <w:rPr>
          <w:rFonts w:ascii="Cambria" w:hAnsi="Cambria"/>
          <w:sz w:val="22"/>
          <w:szCs w:val="22"/>
          <w:lang w:val="en-US"/>
        </w:rPr>
      </w:pPr>
    </w:p>
    <w:p w14:paraId="5CAC39CA" w14:textId="319F7A4B" w:rsidR="00926DC1" w:rsidRPr="00A10267" w:rsidRDefault="00926DC1" w:rsidP="00926DC1">
      <w:pPr>
        <w:spacing w:line="259" w:lineRule="auto"/>
        <w:rPr>
          <w:rFonts w:ascii="Cambria" w:hAnsi="Cambria"/>
          <w:sz w:val="22"/>
          <w:szCs w:val="22"/>
          <w:lang w:val="en-US"/>
        </w:rPr>
      </w:pPr>
      <w:r w:rsidRPr="00F108B0">
        <w:rPr>
          <w:rFonts w:ascii="Cambria" w:hAnsi="Cambria"/>
          <w:b/>
          <w:color w:val="C00000"/>
          <w:sz w:val="22"/>
          <w:szCs w:val="22"/>
          <w:lang w:val="en-US"/>
        </w:rPr>
        <w:t>English</w:t>
      </w:r>
    </w:p>
    <w:p w14:paraId="5631EA66" w14:textId="77777777" w:rsidR="00926DC1" w:rsidRDefault="00926DC1" w:rsidP="00926DC1">
      <w:pPr>
        <w:spacing w:line="259" w:lineRule="auto"/>
        <w:rPr>
          <w:rFonts w:ascii="Cambria" w:hAnsi="Cambria"/>
          <w:sz w:val="22"/>
          <w:szCs w:val="22"/>
          <w:lang w:val="en-US"/>
        </w:rPr>
      </w:pPr>
    </w:p>
    <w:p w14:paraId="0E93A9D6" w14:textId="77777777" w:rsidR="00E4494A" w:rsidRDefault="00926DC1" w:rsidP="00926DC1">
      <w:pPr>
        <w:spacing w:line="259" w:lineRule="auto"/>
        <w:jc w:val="center"/>
        <w:rPr>
          <w:rFonts w:ascii="Cambria" w:hAnsi="Cambria"/>
          <w:b/>
          <w:sz w:val="22"/>
          <w:szCs w:val="22"/>
          <w:lang w:val="en-US"/>
        </w:rPr>
      </w:pPr>
      <w:r w:rsidRPr="000E737F">
        <w:rPr>
          <w:rFonts w:ascii="Cambria" w:hAnsi="Cambria"/>
          <w:b/>
          <w:sz w:val="22"/>
          <w:szCs w:val="22"/>
          <w:lang w:val="en-US"/>
        </w:rPr>
        <w:t xml:space="preserve">ESTABLISHMENT OF A </w:t>
      </w:r>
      <w:r w:rsidR="00835643">
        <w:rPr>
          <w:rFonts w:ascii="Cambria" w:hAnsi="Cambria"/>
          <w:b/>
          <w:sz w:val="22"/>
          <w:szCs w:val="22"/>
          <w:lang w:val="en-US"/>
        </w:rPr>
        <w:t xml:space="preserve">FOREIGN INVESTED MEDICAL </w:t>
      </w:r>
      <w:r w:rsidRPr="000E737F">
        <w:rPr>
          <w:rFonts w:ascii="Cambria" w:hAnsi="Cambria"/>
          <w:b/>
          <w:sz w:val="22"/>
          <w:szCs w:val="22"/>
          <w:lang w:val="en-US"/>
        </w:rPr>
        <w:t xml:space="preserve">LABORATORY IN VIETNAM </w:t>
      </w:r>
    </w:p>
    <w:p w14:paraId="53FA3A19" w14:textId="5E6CCA24" w:rsidR="00926DC1" w:rsidRPr="000E737F" w:rsidRDefault="00926DC1" w:rsidP="00926DC1">
      <w:pPr>
        <w:spacing w:line="259" w:lineRule="auto"/>
        <w:jc w:val="center"/>
        <w:rPr>
          <w:rFonts w:ascii="Cambria" w:hAnsi="Cambria"/>
          <w:b/>
          <w:sz w:val="22"/>
          <w:szCs w:val="22"/>
          <w:lang w:val="en-US"/>
        </w:rPr>
      </w:pPr>
      <w:r w:rsidRPr="000E737F">
        <w:rPr>
          <w:rFonts w:ascii="Cambria" w:hAnsi="Cambria"/>
          <w:b/>
          <w:sz w:val="22"/>
          <w:szCs w:val="22"/>
          <w:lang w:val="en-US"/>
        </w:rPr>
        <w:t>AND SOME NOTABLE POINTS</w:t>
      </w:r>
    </w:p>
    <w:p w14:paraId="4193B244" w14:textId="77777777" w:rsidR="00926DC1" w:rsidRPr="000E737F" w:rsidRDefault="00926DC1" w:rsidP="00926DC1">
      <w:pPr>
        <w:spacing w:line="259" w:lineRule="auto"/>
        <w:jc w:val="both"/>
        <w:rPr>
          <w:rFonts w:ascii="Cambria" w:hAnsi="Cambria"/>
          <w:sz w:val="22"/>
          <w:szCs w:val="22"/>
          <w:lang w:val="en-US"/>
        </w:rPr>
      </w:pPr>
    </w:p>
    <w:p w14:paraId="5A2AA4BB" w14:textId="77777777" w:rsidR="00926DC1" w:rsidRDefault="00926DC1" w:rsidP="00926DC1">
      <w:pPr>
        <w:spacing w:line="259" w:lineRule="auto"/>
        <w:jc w:val="both"/>
        <w:rPr>
          <w:rFonts w:ascii="Cambria" w:hAnsi="Cambria"/>
          <w:sz w:val="22"/>
          <w:szCs w:val="22"/>
          <w:lang w:val="en-US"/>
        </w:rPr>
      </w:pPr>
      <w:r w:rsidRPr="000E737F">
        <w:rPr>
          <w:rFonts w:ascii="Cambria" w:hAnsi="Cambria"/>
          <w:sz w:val="22"/>
          <w:szCs w:val="22"/>
          <w:lang w:val="en-US"/>
        </w:rPr>
        <w:t>Through free trade agreements (FTA), Vietnam has opened up a variety of fields for foreign investors to conduct investment activities in Vietnam. Among them, medical services are one of the fields that foreign investors are interested in. The following article will provide some information and notes for investors regarding the establishment of a laboratory in Vietnam.</w:t>
      </w:r>
    </w:p>
    <w:p w14:paraId="30FE8575" w14:textId="77777777" w:rsidR="00926DC1" w:rsidRDefault="00926DC1" w:rsidP="00926DC1">
      <w:pPr>
        <w:spacing w:line="259" w:lineRule="auto"/>
        <w:jc w:val="both"/>
        <w:rPr>
          <w:rFonts w:ascii="Cambria" w:hAnsi="Cambria"/>
          <w:sz w:val="22"/>
          <w:szCs w:val="22"/>
          <w:lang w:val="en-US"/>
        </w:rPr>
      </w:pPr>
    </w:p>
    <w:p w14:paraId="2F52A615" w14:textId="77777777" w:rsidR="00926DC1" w:rsidRDefault="00926DC1" w:rsidP="00926DC1">
      <w:pPr>
        <w:spacing w:line="259" w:lineRule="auto"/>
        <w:jc w:val="both"/>
        <w:rPr>
          <w:rFonts w:ascii="Cambria" w:hAnsi="Cambria"/>
          <w:b/>
          <w:i/>
          <w:sz w:val="22"/>
          <w:szCs w:val="22"/>
          <w:lang w:val="en-US"/>
        </w:rPr>
      </w:pPr>
      <w:r w:rsidRPr="000E737F">
        <w:rPr>
          <w:rFonts w:ascii="Cambria" w:hAnsi="Cambria"/>
          <w:b/>
          <w:i/>
          <w:sz w:val="22"/>
          <w:szCs w:val="22"/>
          <w:lang w:val="en-US"/>
        </w:rPr>
        <w:t>Legal ground:</w:t>
      </w:r>
    </w:p>
    <w:p w14:paraId="10BA3F89" w14:textId="77777777" w:rsidR="00926DC1" w:rsidRDefault="00926DC1" w:rsidP="00926DC1">
      <w:pPr>
        <w:spacing w:line="259" w:lineRule="auto"/>
        <w:jc w:val="both"/>
        <w:rPr>
          <w:rFonts w:ascii="Cambria" w:hAnsi="Cambria"/>
          <w:b/>
          <w:i/>
          <w:sz w:val="22"/>
          <w:szCs w:val="22"/>
          <w:lang w:val="en-US"/>
        </w:rPr>
      </w:pPr>
    </w:p>
    <w:p w14:paraId="54241E52" w14:textId="77777777" w:rsidR="00926DC1" w:rsidRPr="00B20471" w:rsidRDefault="00926DC1" w:rsidP="00926DC1">
      <w:pPr>
        <w:spacing w:line="259" w:lineRule="auto"/>
        <w:jc w:val="both"/>
        <w:rPr>
          <w:rFonts w:ascii="Cambria" w:hAnsi="Cambria"/>
          <w:i/>
          <w:sz w:val="22"/>
          <w:szCs w:val="22"/>
          <w:lang w:val="en-US"/>
        </w:rPr>
      </w:pPr>
      <w:r w:rsidRPr="00B20471">
        <w:rPr>
          <w:rFonts w:ascii="Cambria" w:hAnsi="Cambria"/>
          <w:i/>
          <w:sz w:val="22"/>
          <w:szCs w:val="22"/>
          <w:lang w:val="en-US"/>
        </w:rPr>
        <w:t>WTO commitments</w:t>
      </w:r>
    </w:p>
    <w:p w14:paraId="08AC086F" w14:textId="77777777" w:rsidR="00926DC1" w:rsidRPr="00B20471" w:rsidRDefault="00926DC1" w:rsidP="00926DC1">
      <w:pPr>
        <w:spacing w:line="259" w:lineRule="auto"/>
        <w:jc w:val="both"/>
        <w:rPr>
          <w:rFonts w:ascii="Cambria" w:hAnsi="Cambria"/>
          <w:i/>
          <w:sz w:val="22"/>
          <w:szCs w:val="22"/>
          <w:lang w:val="en-US"/>
        </w:rPr>
      </w:pPr>
    </w:p>
    <w:p w14:paraId="4ACC393B" w14:textId="77777777" w:rsidR="00926DC1" w:rsidRPr="00B20471" w:rsidRDefault="00926DC1" w:rsidP="00926DC1">
      <w:pPr>
        <w:spacing w:line="259" w:lineRule="auto"/>
        <w:jc w:val="both"/>
        <w:rPr>
          <w:rFonts w:ascii="Cambria" w:hAnsi="Cambria"/>
          <w:i/>
          <w:sz w:val="22"/>
          <w:szCs w:val="22"/>
          <w:lang w:val="en-US"/>
        </w:rPr>
      </w:pPr>
      <w:r w:rsidRPr="00B20471">
        <w:rPr>
          <w:rFonts w:ascii="Cambria" w:hAnsi="Cambria"/>
          <w:i/>
          <w:sz w:val="22"/>
          <w:szCs w:val="22"/>
          <w:lang w:val="en-US"/>
        </w:rPr>
        <w:t>ASEAN Framework Agreement on Services (AFAS)</w:t>
      </w:r>
    </w:p>
    <w:p w14:paraId="17BC5B09" w14:textId="77777777" w:rsidR="00926DC1" w:rsidRPr="00B20471" w:rsidRDefault="00926DC1" w:rsidP="00926DC1">
      <w:pPr>
        <w:spacing w:line="259" w:lineRule="auto"/>
        <w:jc w:val="both"/>
        <w:rPr>
          <w:rFonts w:ascii="Cambria" w:hAnsi="Cambria"/>
          <w:i/>
          <w:sz w:val="22"/>
          <w:szCs w:val="22"/>
          <w:lang w:val="en-US"/>
        </w:rPr>
      </w:pPr>
    </w:p>
    <w:p w14:paraId="2FFD3080" w14:textId="77777777" w:rsidR="00926DC1" w:rsidRDefault="00926DC1" w:rsidP="00926DC1">
      <w:pPr>
        <w:spacing w:line="259" w:lineRule="auto"/>
        <w:jc w:val="both"/>
        <w:rPr>
          <w:rFonts w:ascii="Cambria" w:hAnsi="Cambria"/>
          <w:i/>
          <w:sz w:val="22"/>
          <w:szCs w:val="22"/>
          <w:lang w:val="en-US"/>
        </w:rPr>
      </w:pPr>
      <w:r w:rsidRPr="00B20471">
        <w:rPr>
          <w:rFonts w:ascii="Cambria" w:hAnsi="Cambria"/>
          <w:i/>
          <w:sz w:val="22"/>
          <w:szCs w:val="22"/>
          <w:lang w:val="en-US"/>
        </w:rPr>
        <w:t>Law on Medical Examination and Treatment 2009</w:t>
      </w:r>
    </w:p>
    <w:p w14:paraId="1F3A7C3D" w14:textId="77777777" w:rsidR="00926DC1" w:rsidRDefault="00926DC1" w:rsidP="00926DC1">
      <w:pPr>
        <w:spacing w:line="259" w:lineRule="auto"/>
        <w:jc w:val="both"/>
        <w:rPr>
          <w:rFonts w:ascii="Cambria" w:hAnsi="Cambria"/>
          <w:i/>
          <w:sz w:val="22"/>
          <w:szCs w:val="22"/>
          <w:lang w:val="en-US"/>
        </w:rPr>
      </w:pPr>
    </w:p>
    <w:p w14:paraId="21BCEC8E" w14:textId="77777777" w:rsidR="00926DC1" w:rsidRPr="00F74E26" w:rsidRDefault="00926DC1" w:rsidP="00926DC1">
      <w:pPr>
        <w:spacing w:line="259" w:lineRule="auto"/>
        <w:jc w:val="both"/>
        <w:rPr>
          <w:rFonts w:ascii="Cambria" w:hAnsi="Cambria"/>
          <w:i/>
          <w:sz w:val="22"/>
          <w:szCs w:val="22"/>
          <w:lang w:val="en-US"/>
        </w:rPr>
      </w:pPr>
      <w:r w:rsidRPr="00F74E26">
        <w:rPr>
          <w:rFonts w:ascii="Cambria" w:hAnsi="Cambria"/>
          <w:i/>
          <w:sz w:val="22"/>
          <w:szCs w:val="22"/>
          <w:lang w:val="en-US"/>
        </w:rPr>
        <w:t>Decree 109/2018/ND-CP on issuance of practice certificates to practitioners and operation licenses to medical exami</w:t>
      </w:r>
      <w:r>
        <w:rPr>
          <w:rFonts w:ascii="Cambria" w:hAnsi="Cambria"/>
          <w:i/>
          <w:sz w:val="22"/>
          <w:szCs w:val="22"/>
          <w:lang w:val="en-US"/>
        </w:rPr>
        <w:t>nation and treatment facilities</w:t>
      </w:r>
    </w:p>
    <w:p w14:paraId="67CBC67F" w14:textId="77777777" w:rsidR="00926DC1" w:rsidRPr="00F74E26" w:rsidRDefault="00926DC1" w:rsidP="00926DC1">
      <w:pPr>
        <w:spacing w:line="259" w:lineRule="auto"/>
        <w:jc w:val="both"/>
        <w:rPr>
          <w:rFonts w:ascii="Cambria" w:hAnsi="Cambria"/>
          <w:i/>
          <w:sz w:val="22"/>
          <w:szCs w:val="22"/>
          <w:lang w:val="en-US"/>
        </w:rPr>
      </w:pPr>
    </w:p>
    <w:p w14:paraId="0F8AD7D9" w14:textId="77777777" w:rsidR="00926DC1" w:rsidRDefault="00926DC1" w:rsidP="00926DC1">
      <w:pPr>
        <w:spacing w:line="259" w:lineRule="auto"/>
        <w:jc w:val="both"/>
        <w:rPr>
          <w:rFonts w:ascii="Cambria" w:hAnsi="Cambria"/>
          <w:i/>
          <w:sz w:val="22"/>
          <w:szCs w:val="22"/>
          <w:lang w:val="en-US"/>
        </w:rPr>
      </w:pPr>
      <w:r w:rsidRPr="00F74E26">
        <w:rPr>
          <w:rFonts w:ascii="Cambria" w:hAnsi="Cambria"/>
          <w:i/>
          <w:sz w:val="22"/>
          <w:szCs w:val="22"/>
          <w:lang w:val="en-US"/>
        </w:rPr>
        <w:t>Circular 278/2016/TT-BTC stipulating the collection rate, mode of collection, payment, management, and u</w:t>
      </w:r>
      <w:r>
        <w:rPr>
          <w:rFonts w:ascii="Cambria" w:hAnsi="Cambria"/>
          <w:i/>
          <w:sz w:val="22"/>
          <w:szCs w:val="22"/>
          <w:lang w:val="en-US"/>
        </w:rPr>
        <w:t>se of fees in the medical field</w:t>
      </w:r>
    </w:p>
    <w:p w14:paraId="5C874DE9" w14:textId="77777777" w:rsidR="00926DC1" w:rsidRDefault="00926DC1" w:rsidP="00926DC1">
      <w:pPr>
        <w:spacing w:line="259" w:lineRule="auto"/>
        <w:jc w:val="both"/>
        <w:rPr>
          <w:rFonts w:ascii="Cambria" w:hAnsi="Cambria"/>
          <w:sz w:val="22"/>
          <w:szCs w:val="22"/>
          <w:lang w:val="en-US"/>
        </w:rPr>
      </w:pPr>
    </w:p>
    <w:p w14:paraId="4DC4D8AF" w14:textId="77777777" w:rsidR="00926DC1" w:rsidRDefault="00926DC1" w:rsidP="00926DC1">
      <w:pPr>
        <w:pStyle w:val="ListParagraph"/>
        <w:numPr>
          <w:ilvl w:val="0"/>
          <w:numId w:val="8"/>
        </w:numPr>
        <w:spacing w:line="259" w:lineRule="auto"/>
        <w:ind w:hanging="720"/>
        <w:jc w:val="both"/>
        <w:rPr>
          <w:rFonts w:ascii="Cambria" w:hAnsi="Cambria"/>
          <w:b/>
          <w:sz w:val="22"/>
          <w:szCs w:val="22"/>
          <w:lang w:val="en-US"/>
        </w:rPr>
      </w:pPr>
      <w:r w:rsidRPr="00F74E26">
        <w:rPr>
          <w:rFonts w:ascii="Cambria" w:hAnsi="Cambria"/>
          <w:b/>
          <w:sz w:val="22"/>
          <w:szCs w:val="22"/>
          <w:lang w:val="en-US"/>
        </w:rPr>
        <w:t>Market access conditions for foreign investors</w:t>
      </w:r>
    </w:p>
    <w:p w14:paraId="13B980C7" w14:textId="77777777" w:rsidR="00926DC1" w:rsidRDefault="00926DC1" w:rsidP="00926DC1">
      <w:pPr>
        <w:spacing w:line="259" w:lineRule="auto"/>
        <w:jc w:val="both"/>
        <w:rPr>
          <w:rFonts w:ascii="Cambria" w:hAnsi="Cambria"/>
          <w:b/>
          <w:sz w:val="22"/>
          <w:szCs w:val="22"/>
          <w:lang w:val="en-US"/>
        </w:rPr>
      </w:pPr>
    </w:p>
    <w:p w14:paraId="4E8E058B" w14:textId="77777777" w:rsidR="00926DC1" w:rsidRPr="00F74E26" w:rsidRDefault="00926DC1" w:rsidP="00926DC1">
      <w:pPr>
        <w:spacing w:line="259" w:lineRule="auto"/>
        <w:ind w:left="720"/>
        <w:jc w:val="both"/>
        <w:rPr>
          <w:rFonts w:ascii="Cambria" w:hAnsi="Cambria"/>
          <w:sz w:val="22"/>
          <w:szCs w:val="22"/>
          <w:lang w:val="en-US"/>
        </w:rPr>
      </w:pPr>
      <w:r w:rsidRPr="00F74E26">
        <w:rPr>
          <w:rFonts w:ascii="Cambria" w:hAnsi="Cambria"/>
          <w:sz w:val="22"/>
          <w:szCs w:val="22"/>
          <w:lang w:val="en-US"/>
        </w:rPr>
        <w:t>The schedule of WTO commitments and free trade agreements is open and unrestricted to foreign investors, except for conditions on investment capital. Specifically, for CPC 9312 (general and medical services), with the form of commercial presence in Vietnam, the minimum investment capital for a specialized treatment facility is US$200,000.</w:t>
      </w:r>
    </w:p>
    <w:p w14:paraId="397788A0" w14:textId="77777777" w:rsidR="00926DC1" w:rsidRPr="00F74E26" w:rsidRDefault="00926DC1" w:rsidP="00926DC1">
      <w:pPr>
        <w:spacing w:line="259" w:lineRule="auto"/>
        <w:ind w:left="720"/>
        <w:jc w:val="both"/>
        <w:rPr>
          <w:rFonts w:ascii="Cambria" w:hAnsi="Cambria"/>
          <w:sz w:val="22"/>
          <w:szCs w:val="22"/>
          <w:lang w:val="en-US"/>
        </w:rPr>
      </w:pPr>
    </w:p>
    <w:p w14:paraId="39C147E1" w14:textId="77777777" w:rsidR="00926DC1" w:rsidRDefault="00926DC1" w:rsidP="00926DC1">
      <w:pPr>
        <w:spacing w:line="259" w:lineRule="auto"/>
        <w:ind w:left="720"/>
        <w:jc w:val="both"/>
        <w:rPr>
          <w:rFonts w:ascii="Cambria" w:hAnsi="Cambria"/>
          <w:sz w:val="22"/>
          <w:szCs w:val="22"/>
          <w:lang w:val="en-US"/>
        </w:rPr>
      </w:pPr>
      <w:r w:rsidRPr="00F74E26">
        <w:rPr>
          <w:rFonts w:ascii="Cambria" w:hAnsi="Cambria"/>
          <w:sz w:val="22"/>
          <w:szCs w:val="22"/>
          <w:lang w:val="en-US"/>
        </w:rPr>
        <w:t>In case the investor comes from one of the countries that are members of the ASEAN area, based on the provisions of the ASEAN Framework Agreement on Services (AFAS), the investment capital condition will not apply.</w:t>
      </w:r>
      <w:r>
        <w:rPr>
          <w:rFonts w:ascii="Cambria" w:hAnsi="Cambria"/>
          <w:sz w:val="22"/>
          <w:szCs w:val="22"/>
          <w:lang w:val="en-US"/>
        </w:rPr>
        <w:t xml:space="preserve"> </w:t>
      </w:r>
    </w:p>
    <w:p w14:paraId="46EF4FD7" w14:textId="77777777" w:rsidR="00926DC1" w:rsidRPr="00DD1730" w:rsidRDefault="00926DC1" w:rsidP="00926DC1">
      <w:pPr>
        <w:spacing w:line="259" w:lineRule="auto"/>
        <w:ind w:left="720"/>
        <w:jc w:val="both"/>
        <w:rPr>
          <w:rFonts w:ascii="Cambria" w:hAnsi="Cambria"/>
          <w:sz w:val="22"/>
          <w:szCs w:val="22"/>
          <w:lang w:val="en-US"/>
        </w:rPr>
      </w:pPr>
    </w:p>
    <w:p w14:paraId="65D6C16C" w14:textId="77777777" w:rsidR="00926DC1" w:rsidRPr="00DD1730" w:rsidRDefault="00926DC1" w:rsidP="00926DC1">
      <w:pPr>
        <w:spacing w:line="259" w:lineRule="auto"/>
        <w:ind w:left="720"/>
        <w:jc w:val="both"/>
        <w:rPr>
          <w:rFonts w:ascii="Cambria" w:hAnsi="Cambria"/>
          <w:sz w:val="22"/>
          <w:szCs w:val="22"/>
          <w:lang w:val="en-US"/>
        </w:rPr>
      </w:pPr>
      <w:r w:rsidRPr="00DD1730">
        <w:rPr>
          <w:rFonts w:ascii="Cambria" w:hAnsi="Cambria"/>
          <w:sz w:val="22"/>
          <w:szCs w:val="22"/>
          <w:lang w:val="en-US"/>
        </w:rPr>
        <w:t>Therefore, except for ASEAN countries, to open a laboratory in Vietnam, foreign investors must first meet the conditions of minimum investment capital of 200,000 USD as mentioned above.</w:t>
      </w:r>
    </w:p>
    <w:p w14:paraId="7AC72FA9" w14:textId="77777777" w:rsidR="00926DC1" w:rsidRPr="00DD1730" w:rsidRDefault="00926DC1" w:rsidP="00926DC1">
      <w:pPr>
        <w:spacing w:line="259" w:lineRule="auto"/>
        <w:ind w:left="720"/>
        <w:jc w:val="both"/>
        <w:rPr>
          <w:rFonts w:ascii="Cambria" w:hAnsi="Cambria"/>
          <w:sz w:val="22"/>
          <w:szCs w:val="22"/>
          <w:lang w:val="en-US"/>
        </w:rPr>
      </w:pPr>
    </w:p>
    <w:p w14:paraId="467C6805" w14:textId="77777777" w:rsidR="00926DC1" w:rsidRPr="00DD1730" w:rsidRDefault="00926DC1" w:rsidP="00926DC1">
      <w:pPr>
        <w:pStyle w:val="ListParagraph"/>
        <w:numPr>
          <w:ilvl w:val="0"/>
          <w:numId w:val="8"/>
        </w:numPr>
        <w:spacing w:line="259" w:lineRule="auto"/>
        <w:ind w:hanging="720"/>
        <w:jc w:val="both"/>
        <w:rPr>
          <w:rFonts w:ascii="Cambria" w:hAnsi="Cambria"/>
          <w:b/>
          <w:sz w:val="22"/>
          <w:szCs w:val="22"/>
          <w:lang w:val="en-US"/>
        </w:rPr>
      </w:pPr>
      <w:r w:rsidRPr="00DD1730">
        <w:rPr>
          <w:rFonts w:ascii="Cambria" w:hAnsi="Cambria"/>
          <w:b/>
          <w:sz w:val="22"/>
          <w:szCs w:val="22"/>
          <w:lang w:val="en-US"/>
        </w:rPr>
        <w:t>Conditions under Vietnamese law</w:t>
      </w:r>
    </w:p>
    <w:p w14:paraId="2DAF6AF3" w14:textId="77777777" w:rsidR="00926DC1" w:rsidRPr="00DD1730" w:rsidRDefault="00926DC1" w:rsidP="00926DC1">
      <w:pPr>
        <w:spacing w:line="259" w:lineRule="auto"/>
        <w:ind w:left="720"/>
        <w:jc w:val="both"/>
        <w:rPr>
          <w:rFonts w:ascii="Cambria" w:hAnsi="Cambria"/>
          <w:sz w:val="22"/>
          <w:szCs w:val="22"/>
          <w:lang w:val="en-US"/>
        </w:rPr>
      </w:pPr>
    </w:p>
    <w:p w14:paraId="3DA6ABAB" w14:textId="77777777" w:rsidR="00926DC1" w:rsidRDefault="00926DC1" w:rsidP="00926DC1">
      <w:pPr>
        <w:spacing w:line="259" w:lineRule="auto"/>
        <w:ind w:left="720"/>
        <w:jc w:val="both"/>
        <w:rPr>
          <w:rFonts w:ascii="Cambria" w:hAnsi="Cambria"/>
          <w:sz w:val="22"/>
          <w:szCs w:val="22"/>
          <w:lang w:val="en-US"/>
        </w:rPr>
      </w:pPr>
      <w:r w:rsidRPr="00DD1730">
        <w:rPr>
          <w:rFonts w:ascii="Cambria" w:hAnsi="Cambria"/>
          <w:sz w:val="22"/>
          <w:szCs w:val="22"/>
          <w:lang w:val="en-US"/>
        </w:rPr>
        <w:t xml:space="preserve">Medical service is a specific business line, so to ensure operational efficiency, foreign investors in particular and all investors in general are required to meet conditions on the facility, medical </w:t>
      </w:r>
      <w:r w:rsidRPr="00DD1730">
        <w:rPr>
          <w:rFonts w:ascii="Cambria" w:hAnsi="Cambria"/>
          <w:sz w:val="22"/>
          <w:szCs w:val="22"/>
          <w:lang w:val="en-US"/>
        </w:rPr>
        <w:lastRenderedPageBreak/>
        <w:t>equipment, personnel, etc according to the provisions of the Law on Medical Examination and Treatment 2009 and Decree 109/2016/ND-CP.</w:t>
      </w:r>
    </w:p>
    <w:p w14:paraId="3E148C39" w14:textId="77777777" w:rsidR="00926DC1" w:rsidRDefault="00926DC1" w:rsidP="00926DC1">
      <w:pPr>
        <w:spacing w:line="259" w:lineRule="auto"/>
        <w:ind w:left="720"/>
        <w:jc w:val="both"/>
        <w:rPr>
          <w:rFonts w:ascii="Cambria" w:hAnsi="Cambria"/>
          <w:sz w:val="22"/>
          <w:szCs w:val="22"/>
          <w:lang w:val="en-US"/>
        </w:rPr>
      </w:pPr>
    </w:p>
    <w:p w14:paraId="35543D07" w14:textId="77777777" w:rsidR="00926DC1" w:rsidRDefault="00926DC1" w:rsidP="00926DC1">
      <w:pPr>
        <w:spacing w:line="259" w:lineRule="auto"/>
        <w:ind w:left="720"/>
        <w:jc w:val="both"/>
        <w:rPr>
          <w:rFonts w:ascii="Cambria" w:hAnsi="Cambria"/>
          <w:b/>
          <w:sz w:val="22"/>
          <w:szCs w:val="22"/>
          <w:lang w:val="en-US"/>
        </w:rPr>
      </w:pPr>
      <w:r>
        <w:rPr>
          <w:rFonts w:ascii="Cambria" w:hAnsi="Cambria"/>
          <w:b/>
          <w:sz w:val="22"/>
          <w:szCs w:val="22"/>
          <w:lang w:val="en-US"/>
        </w:rPr>
        <w:t>For facilities</w:t>
      </w:r>
    </w:p>
    <w:p w14:paraId="7BB5F29B" w14:textId="77777777" w:rsidR="00926DC1" w:rsidRDefault="00926DC1" w:rsidP="00926DC1">
      <w:pPr>
        <w:spacing w:line="259" w:lineRule="auto"/>
        <w:ind w:left="720"/>
        <w:jc w:val="both"/>
        <w:rPr>
          <w:rFonts w:ascii="Cambria" w:hAnsi="Cambria"/>
          <w:b/>
          <w:sz w:val="22"/>
          <w:szCs w:val="22"/>
          <w:lang w:val="en-US"/>
        </w:rPr>
      </w:pPr>
    </w:p>
    <w:p w14:paraId="0E2925F0" w14:textId="77777777" w:rsidR="00926DC1" w:rsidRDefault="00926DC1" w:rsidP="00926DC1">
      <w:pPr>
        <w:spacing w:line="259" w:lineRule="auto"/>
        <w:ind w:left="720"/>
        <w:jc w:val="both"/>
        <w:rPr>
          <w:rFonts w:ascii="Cambria" w:hAnsi="Cambria"/>
          <w:sz w:val="22"/>
          <w:szCs w:val="22"/>
          <w:lang w:val="en-US"/>
        </w:rPr>
      </w:pPr>
      <w:r w:rsidRPr="004E5306">
        <w:rPr>
          <w:rFonts w:ascii="Cambria" w:hAnsi="Cambria"/>
          <w:sz w:val="22"/>
          <w:szCs w:val="22"/>
          <w:lang w:val="en-US"/>
        </w:rPr>
        <w:t>For the laboratory area (i) the laboratory is at least 10 m2 for the performance of one of the hematology or biochemistry or</w:t>
      </w:r>
      <w:r>
        <w:rPr>
          <w:rFonts w:ascii="Cambria" w:hAnsi="Cambria"/>
          <w:sz w:val="22"/>
          <w:szCs w:val="22"/>
          <w:lang w:val="en-US"/>
        </w:rPr>
        <w:t xml:space="preserve"> medical</w:t>
      </w:r>
      <w:r w:rsidRPr="004E5306">
        <w:rPr>
          <w:rFonts w:ascii="Cambria" w:hAnsi="Cambria"/>
          <w:sz w:val="22"/>
          <w:szCs w:val="22"/>
          <w:lang w:val="en-US"/>
        </w:rPr>
        <w:t xml:space="preserve"> genetics or immunology tests, at least 15 m2 in case of performing 02 or 03 of the above tests and at least 20 m2 in case of performing all 04 tests, (ii) For pathology or cytological tests, the laboratory shall have an area of at least 20 m2 and be separated from the laboratories for tests of hematology, biochemistry, </w:t>
      </w:r>
      <w:r>
        <w:rPr>
          <w:rFonts w:ascii="Cambria" w:hAnsi="Cambria"/>
          <w:sz w:val="22"/>
          <w:szCs w:val="22"/>
          <w:lang w:val="en-US"/>
        </w:rPr>
        <w:t xml:space="preserve">medical </w:t>
      </w:r>
      <w:r w:rsidRPr="004E5306">
        <w:rPr>
          <w:rFonts w:ascii="Cambria" w:hAnsi="Cambria"/>
          <w:sz w:val="22"/>
          <w:szCs w:val="22"/>
          <w:lang w:val="en-US"/>
        </w:rPr>
        <w:t>genetics, and other laboratories;</w:t>
      </w:r>
      <w:r>
        <w:rPr>
          <w:rFonts w:ascii="Cambria" w:hAnsi="Cambria"/>
          <w:sz w:val="22"/>
          <w:szCs w:val="22"/>
          <w:lang w:val="en-US"/>
        </w:rPr>
        <w:t xml:space="preserve"> </w:t>
      </w:r>
      <w:r w:rsidRPr="004E5306">
        <w:rPr>
          <w:rFonts w:ascii="Cambria" w:hAnsi="Cambria"/>
          <w:sz w:val="22"/>
          <w:szCs w:val="22"/>
          <w:lang w:val="en-US"/>
        </w:rPr>
        <w:t xml:space="preserve">(iii) For tests of microorganisms, the laboratory shall have an area of at least 20 m2 and be separated from the laboratories for tests of hematology, biochemistry, </w:t>
      </w:r>
      <w:r>
        <w:rPr>
          <w:rFonts w:ascii="Cambria" w:hAnsi="Cambria"/>
          <w:sz w:val="22"/>
          <w:szCs w:val="22"/>
          <w:lang w:val="en-US"/>
        </w:rPr>
        <w:t xml:space="preserve">medical </w:t>
      </w:r>
      <w:r w:rsidRPr="004E5306">
        <w:rPr>
          <w:rFonts w:ascii="Cambria" w:hAnsi="Cambria"/>
          <w:sz w:val="22"/>
          <w:szCs w:val="22"/>
          <w:lang w:val="en-US"/>
        </w:rPr>
        <w:t>genetics, and other laboratories;</w:t>
      </w:r>
    </w:p>
    <w:p w14:paraId="5BA124F4" w14:textId="77777777" w:rsidR="00926DC1" w:rsidRDefault="00926DC1" w:rsidP="00926DC1">
      <w:pPr>
        <w:spacing w:line="259" w:lineRule="auto"/>
        <w:ind w:left="720"/>
        <w:jc w:val="both"/>
        <w:rPr>
          <w:rFonts w:ascii="Cambria" w:hAnsi="Cambria"/>
          <w:sz w:val="22"/>
          <w:szCs w:val="22"/>
          <w:lang w:val="en-US"/>
        </w:rPr>
      </w:pPr>
    </w:p>
    <w:p w14:paraId="50138A65" w14:textId="77777777" w:rsidR="00926DC1" w:rsidRDefault="00926DC1" w:rsidP="00926DC1">
      <w:pPr>
        <w:spacing w:line="259" w:lineRule="auto"/>
        <w:ind w:left="720"/>
        <w:jc w:val="both"/>
        <w:rPr>
          <w:rFonts w:ascii="Cambria" w:hAnsi="Cambria"/>
          <w:sz w:val="22"/>
          <w:szCs w:val="22"/>
          <w:lang w:val="en-US"/>
        </w:rPr>
      </w:pPr>
      <w:r w:rsidRPr="00A02C0C">
        <w:rPr>
          <w:rFonts w:ascii="Cambria" w:hAnsi="Cambria"/>
          <w:sz w:val="22"/>
          <w:szCs w:val="22"/>
          <w:lang w:val="en-US"/>
        </w:rPr>
        <w:t>Requirements for other la</w:t>
      </w:r>
      <w:r>
        <w:rPr>
          <w:rFonts w:ascii="Cambria" w:hAnsi="Cambria"/>
          <w:sz w:val="22"/>
          <w:szCs w:val="22"/>
          <w:lang w:val="en-US"/>
        </w:rPr>
        <w:t xml:space="preserve">boratory facilities include (i) </w:t>
      </w:r>
      <w:r w:rsidRPr="00A02C0C">
        <w:rPr>
          <w:rFonts w:ascii="Cambria" w:hAnsi="Cambria"/>
          <w:sz w:val="22"/>
          <w:szCs w:val="22"/>
          <w:lang w:val="en-US"/>
        </w:rPr>
        <w:t>walls of the laboratory shall have waterproof surface; (ii) floors of the laboratory shall have waterproof and flat surfaces which can prevent stagnant water; (iii) testing table shall be made of waterproof and anti-corrosive materials, have a system of wash-basins and clean water tap installed at the table; (iv) there shall be places for taking medical waste (medical samples), places for keeping medical waste and places for cleansing medical instrument.</w:t>
      </w:r>
    </w:p>
    <w:p w14:paraId="18B111CC" w14:textId="77777777" w:rsidR="00926DC1" w:rsidRDefault="00926DC1" w:rsidP="00926DC1">
      <w:pPr>
        <w:spacing w:line="259" w:lineRule="auto"/>
        <w:jc w:val="both"/>
        <w:rPr>
          <w:rFonts w:ascii="Cambria" w:hAnsi="Cambria"/>
          <w:sz w:val="22"/>
          <w:szCs w:val="22"/>
          <w:lang w:val="en-US"/>
        </w:rPr>
      </w:pPr>
    </w:p>
    <w:p w14:paraId="5C046F10" w14:textId="77777777" w:rsidR="00926DC1" w:rsidRDefault="00926DC1" w:rsidP="00926DC1">
      <w:pPr>
        <w:spacing w:line="259" w:lineRule="auto"/>
        <w:ind w:firstLine="720"/>
        <w:jc w:val="both"/>
        <w:rPr>
          <w:rFonts w:ascii="Cambria" w:hAnsi="Cambria"/>
          <w:b/>
          <w:sz w:val="22"/>
          <w:szCs w:val="22"/>
          <w:lang w:val="en-US"/>
        </w:rPr>
      </w:pPr>
      <w:r>
        <w:rPr>
          <w:rFonts w:ascii="Cambria" w:hAnsi="Cambria"/>
          <w:b/>
          <w:sz w:val="22"/>
          <w:szCs w:val="22"/>
          <w:lang w:val="en-US"/>
        </w:rPr>
        <w:t>For medical equipment</w:t>
      </w:r>
    </w:p>
    <w:p w14:paraId="31259C3E" w14:textId="77777777" w:rsidR="00926DC1" w:rsidRDefault="00926DC1" w:rsidP="00926DC1">
      <w:pPr>
        <w:spacing w:line="259" w:lineRule="auto"/>
        <w:ind w:firstLine="720"/>
        <w:jc w:val="both"/>
        <w:rPr>
          <w:rFonts w:ascii="Cambria" w:hAnsi="Cambria"/>
          <w:b/>
          <w:sz w:val="22"/>
          <w:szCs w:val="22"/>
          <w:lang w:val="en-US"/>
        </w:rPr>
      </w:pPr>
    </w:p>
    <w:p w14:paraId="0AE7D1CA" w14:textId="77777777" w:rsidR="00926DC1" w:rsidRDefault="00926DC1" w:rsidP="00926DC1">
      <w:pPr>
        <w:spacing w:line="259" w:lineRule="auto"/>
        <w:ind w:left="720"/>
        <w:jc w:val="both"/>
        <w:rPr>
          <w:rFonts w:ascii="Cambria" w:hAnsi="Cambria"/>
          <w:sz w:val="22"/>
          <w:szCs w:val="22"/>
          <w:lang w:val="en-US"/>
        </w:rPr>
      </w:pPr>
      <w:r w:rsidRPr="00A02C0C">
        <w:rPr>
          <w:rFonts w:ascii="Cambria" w:hAnsi="Cambria"/>
          <w:sz w:val="22"/>
          <w:szCs w:val="22"/>
          <w:lang w:val="en-US"/>
        </w:rPr>
        <w:t>Having sufficient testing equipment and medical instruments to carry out the scope of professional activities registered, including at least sufficient equipment for performing a test of one of the six types: microorganism, biochemistry, hematology, immunity, pathology, cytology, and medical genetics.</w:t>
      </w:r>
    </w:p>
    <w:p w14:paraId="7A67EEFF" w14:textId="77777777" w:rsidR="00926DC1" w:rsidRDefault="00926DC1" w:rsidP="00926DC1">
      <w:pPr>
        <w:spacing w:line="259" w:lineRule="auto"/>
        <w:ind w:left="720"/>
        <w:jc w:val="both"/>
        <w:rPr>
          <w:rFonts w:ascii="Cambria" w:hAnsi="Cambria"/>
          <w:sz w:val="22"/>
          <w:szCs w:val="22"/>
          <w:lang w:val="en-US"/>
        </w:rPr>
      </w:pPr>
    </w:p>
    <w:p w14:paraId="0048AAD2" w14:textId="77777777" w:rsidR="00926DC1" w:rsidRPr="00915AEF" w:rsidRDefault="00926DC1" w:rsidP="00926DC1">
      <w:pPr>
        <w:spacing w:line="259" w:lineRule="auto"/>
        <w:ind w:left="720"/>
        <w:jc w:val="both"/>
        <w:rPr>
          <w:rFonts w:ascii="Cambria" w:hAnsi="Cambria"/>
          <w:b/>
          <w:sz w:val="22"/>
          <w:szCs w:val="22"/>
          <w:lang w:val="en-US"/>
        </w:rPr>
      </w:pPr>
      <w:r w:rsidRPr="00915AEF">
        <w:rPr>
          <w:rFonts w:ascii="Cambria" w:hAnsi="Cambria"/>
          <w:b/>
          <w:sz w:val="22"/>
          <w:szCs w:val="22"/>
          <w:lang w:val="en-US"/>
        </w:rPr>
        <w:t>For personnel</w:t>
      </w:r>
    </w:p>
    <w:p w14:paraId="7ECDE944" w14:textId="77777777" w:rsidR="00926DC1" w:rsidRDefault="00926DC1" w:rsidP="00926DC1">
      <w:pPr>
        <w:spacing w:line="259" w:lineRule="auto"/>
        <w:ind w:left="720"/>
        <w:jc w:val="both"/>
        <w:rPr>
          <w:rFonts w:ascii="Cambria" w:hAnsi="Cambria"/>
          <w:sz w:val="22"/>
          <w:szCs w:val="22"/>
          <w:lang w:val="en-US"/>
        </w:rPr>
      </w:pPr>
    </w:p>
    <w:p w14:paraId="3C7AD1A3" w14:textId="77777777" w:rsidR="00926DC1" w:rsidRDefault="00926DC1" w:rsidP="00926DC1">
      <w:pPr>
        <w:spacing w:line="259" w:lineRule="auto"/>
        <w:ind w:left="720"/>
        <w:jc w:val="both"/>
        <w:rPr>
          <w:rFonts w:ascii="Cambria" w:hAnsi="Cambria"/>
          <w:sz w:val="22"/>
          <w:szCs w:val="22"/>
          <w:lang w:val="en-US"/>
        </w:rPr>
      </w:pPr>
      <w:r w:rsidRPr="00915AEF">
        <w:rPr>
          <w:rFonts w:ascii="Cambria" w:hAnsi="Cambria"/>
          <w:sz w:val="22"/>
          <w:szCs w:val="22"/>
          <w:lang w:val="en-US"/>
        </w:rPr>
        <w:t>The person in charge of professional and technical expertise of the laboratory must satisfy the following conditions:</w:t>
      </w:r>
    </w:p>
    <w:p w14:paraId="4EC92CB6" w14:textId="77777777" w:rsidR="00926DC1" w:rsidRDefault="00926DC1" w:rsidP="00926DC1">
      <w:pPr>
        <w:spacing w:line="259" w:lineRule="auto"/>
        <w:ind w:left="720"/>
        <w:jc w:val="both"/>
        <w:rPr>
          <w:rFonts w:ascii="Cambria" w:hAnsi="Cambria"/>
          <w:sz w:val="22"/>
          <w:szCs w:val="22"/>
          <w:lang w:val="en-US"/>
        </w:rPr>
      </w:pPr>
    </w:p>
    <w:p w14:paraId="16C51B6F" w14:textId="77777777" w:rsidR="00926DC1" w:rsidRDefault="00926DC1" w:rsidP="00926DC1">
      <w:pPr>
        <w:pStyle w:val="ListParagraph"/>
        <w:numPr>
          <w:ilvl w:val="0"/>
          <w:numId w:val="9"/>
        </w:numPr>
        <w:spacing w:line="259" w:lineRule="auto"/>
        <w:ind w:hanging="720"/>
        <w:jc w:val="both"/>
        <w:rPr>
          <w:rFonts w:ascii="Cambria" w:hAnsi="Cambria"/>
          <w:sz w:val="22"/>
          <w:szCs w:val="22"/>
          <w:lang w:val="en-US"/>
        </w:rPr>
      </w:pPr>
      <w:r w:rsidRPr="00915AEF">
        <w:rPr>
          <w:rFonts w:ascii="Cambria" w:hAnsi="Cambria"/>
          <w:sz w:val="22"/>
          <w:szCs w:val="22"/>
          <w:lang w:val="en-US"/>
        </w:rPr>
        <w:t>Being a doctor or technician specializing in testing, having a university degree or higher, a practicing certificate specialized in testing; or a bachelor's degree in chemistry, biology, or a pharmacist with a university degree for those who have been employed as a laboratory specialist before the effective date of Decree 109/2016/ND-CP and have been granted a laboratory practice certificat</w:t>
      </w:r>
      <w:r>
        <w:rPr>
          <w:rFonts w:ascii="Cambria" w:hAnsi="Cambria"/>
          <w:sz w:val="22"/>
          <w:szCs w:val="22"/>
          <w:lang w:val="en-US"/>
        </w:rPr>
        <w:t>e with the title of technicians.</w:t>
      </w:r>
    </w:p>
    <w:p w14:paraId="22BA3895" w14:textId="77777777" w:rsidR="00926DC1" w:rsidRDefault="00926DC1" w:rsidP="00926DC1">
      <w:pPr>
        <w:pStyle w:val="ListParagraph"/>
        <w:spacing w:line="259" w:lineRule="auto"/>
        <w:ind w:left="1440"/>
        <w:jc w:val="both"/>
        <w:rPr>
          <w:rFonts w:ascii="Cambria" w:hAnsi="Cambria"/>
          <w:sz w:val="22"/>
          <w:szCs w:val="22"/>
          <w:lang w:val="en-US"/>
        </w:rPr>
      </w:pPr>
    </w:p>
    <w:p w14:paraId="5D197C00" w14:textId="77777777" w:rsidR="00926DC1" w:rsidRDefault="00926DC1" w:rsidP="00926DC1">
      <w:pPr>
        <w:pStyle w:val="ListParagraph"/>
        <w:numPr>
          <w:ilvl w:val="0"/>
          <w:numId w:val="9"/>
        </w:numPr>
        <w:spacing w:line="259" w:lineRule="auto"/>
        <w:ind w:hanging="720"/>
        <w:jc w:val="both"/>
        <w:rPr>
          <w:rFonts w:ascii="Cambria" w:hAnsi="Cambria"/>
          <w:sz w:val="22"/>
          <w:szCs w:val="22"/>
          <w:lang w:val="en-US"/>
        </w:rPr>
      </w:pPr>
      <w:r w:rsidRPr="00915AEF">
        <w:rPr>
          <w:rFonts w:ascii="Cambria" w:hAnsi="Cambria"/>
          <w:sz w:val="22"/>
          <w:szCs w:val="22"/>
          <w:lang w:val="en-US"/>
        </w:rPr>
        <w:t xml:space="preserve">Having time to work as a suitable laboratory department for at least 54 months or a period of at least 36 months in laboratory practice, including the period of postgraduate study in the laboratoryspecialty from the date of commencement of testing work (determined from the time of signing a labor contract or having a recruitment decision) </w:t>
      </w:r>
      <w:r w:rsidRPr="00915AEF">
        <w:rPr>
          <w:rFonts w:ascii="Cambria" w:hAnsi="Cambria"/>
          <w:sz w:val="22"/>
          <w:szCs w:val="22"/>
          <w:lang w:val="en-US"/>
        </w:rPr>
        <w:lastRenderedPageBreak/>
        <w:t>to the date of being assigned or appointed as the person in charge of professional and technical expertise of the laboratory.</w:t>
      </w:r>
    </w:p>
    <w:p w14:paraId="35B6FDF8" w14:textId="77777777" w:rsidR="00926DC1" w:rsidRPr="00915AEF" w:rsidRDefault="00926DC1" w:rsidP="00926DC1">
      <w:pPr>
        <w:pStyle w:val="ListParagraph"/>
        <w:spacing w:line="259" w:lineRule="auto"/>
        <w:rPr>
          <w:rFonts w:ascii="Cambria" w:hAnsi="Cambria"/>
          <w:sz w:val="22"/>
          <w:szCs w:val="22"/>
          <w:lang w:val="en-US"/>
        </w:rPr>
      </w:pPr>
    </w:p>
    <w:p w14:paraId="4839D122" w14:textId="77777777" w:rsidR="00926DC1" w:rsidRDefault="00926DC1" w:rsidP="00926DC1">
      <w:pPr>
        <w:pStyle w:val="ListParagraph"/>
        <w:numPr>
          <w:ilvl w:val="0"/>
          <w:numId w:val="8"/>
        </w:numPr>
        <w:spacing w:line="259" w:lineRule="auto"/>
        <w:ind w:hanging="720"/>
        <w:jc w:val="both"/>
        <w:rPr>
          <w:rFonts w:ascii="Cambria" w:hAnsi="Cambria"/>
          <w:b/>
          <w:sz w:val="22"/>
          <w:szCs w:val="22"/>
          <w:lang w:val="en-US"/>
        </w:rPr>
      </w:pPr>
      <w:r w:rsidRPr="00915AEF">
        <w:rPr>
          <w:rFonts w:ascii="Cambria" w:hAnsi="Cambria"/>
          <w:b/>
          <w:sz w:val="22"/>
          <w:szCs w:val="22"/>
          <w:lang w:val="en-US"/>
        </w:rPr>
        <w:t>Procedures for setting up a laboratory in Vietnam</w:t>
      </w:r>
    </w:p>
    <w:p w14:paraId="6D18EE79" w14:textId="77777777" w:rsidR="00926DC1" w:rsidRDefault="00926DC1" w:rsidP="00926DC1">
      <w:pPr>
        <w:spacing w:line="259" w:lineRule="auto"/>
        <w:jc w:val="both"/>
        <w:rPr>
          <w:rFonts w:ascii="Cambria" w:hAnsi="Cambria"/>
          <w:b/>
          <w:sz w:val="22"/>
          <w:szCs w:val="22"/>
          <w:lang w:val="en-US"/>
        </w:rPr>
      </w:pPr>
    </w:p>
    <w:p w14:paraId="70819216" w14:textId="77777777" w:rsidR="00926DC1" w:rsidRDefault="00926DC1" w:rsidP="00926DC1">
      <w:pPr>
        <w:spacing w:line="259" w:lineRule="auto"/>
        <w:ind w:left="720"/>
        <w:jc w:val="both"/>
        <w:rPr>
          <w:rFonts w:ascii="Cambria" w:hAnsi="Cambria"/>
          <w:sz w:val="22"/>
          <w:szCs w:val="22"/>
          <w:lang w:val="en-US"/>
        </w:rPr>
      </w:pPr>
      <w:r w:rsidRPr="00915AEF">
        <w:rPr>
          <w:rFonts w:ascii="Cambria" w:hAnsi="Cambria"/>
          <w:sz w:val="22"/>
          <w:szCs w:val="22"/>
          <w:lang w:val="en-US"/>
        </w:rPr>
        <w:t>Based on the provisions of the Law on Medical Examination and Treatment 2009, a laboratory is considered as a medical examination and treatment facility and must be meet the conditions in Article 42 of this law (i) Having a business registration certificate and investment registration certificate; (ii) Having an operating license issued by the Director of the Department of Health.</w:t>
      </w:r>
    </w:p>
    <w:p w14:paraId="35CE5931" w14:textId="77777777" w:rsidR="00926DC1" w:rsidRDefault="00926DC1" w:rsidP="00926DC1">
      <w:pPr>
        <w:spacing w:line="259" w:lineRule="auto"/>
        <w:ind w:left="720"/>
        <w:jc w:val="both"/>
        <w:rPr>
          <w:rFonts w:ascii="Cambria" w:hAnsi="Cambria"/>
          <w:sz w:val="22"/>
          <w:szCs w:val="22"/>
          <w:lang w:val="en-US"/>
        </w:rPr>
      </w:pPr>
    </w:p>
    <w:p w14:paraId="484088BD" w14:textId="77777777" w:rsidR="00926DC1" w:rsidRDefault="00926DC1" w:rsidP="00926DC1">
      <w:pPr>
        <w:spacing w:line="259" w:lineRule="auto"/>
        <w:ind w:left="720"/>
        <w:jc w:val="both"/>
        <w:rPr>
          <w:rFonts w:ascii="Cambria" w:hAnsi="Cambria"/>
          <w:sz w:val="22"/>
          <w:szCs w:val="22"/>
          <w:lang w:val="en-US"/>
        </w:rPr>
      </w:pPr>
      <w:r w:rsidRPr="00915AEF">
        <w:rPr>
          <w:rFonts w:ascii="Cambria" w:hAnsi="Cambria"/>
          <w:sz w:val="22"/>
          <w:szCs w:val="22"/>
          <w:lang w:val="en-US"/>
        </w:rPr>
        <w:t>Accordingly, to set up a laboratory, foreign investors need to select the type of enterprise and carry out the procedures to apply for an Investment Registration Certificate (IRC), an Enterprise Registration Certificate ( ERC) at the Department of Planning and Investment where the enterprise is located. Usually, this process will be completed within 20-30 business days.</w:t>
      </w:r>
    </w:p>
    <w:p w14:paraId="6ECA8FA0" w14:textId="77777777" w:rsidR="00926DC1" w:rsidRDefault="00926DC1" w:rsidP="00926DC1">
      <w:pPr>
        <w:spacing w:line="259" w:lineRule="auto"/>
        <w:ind w:left="720"/>
        <w:jc w:val="both"/>
        <w:rPr>
          <w:rFonts w:ascii="Cambria" w:hAnsi="Cambria"/>
          <w:sz w:val="22"/>
          <w:szCs w:val="22"/>
          <w:lang w:val="en-US"/>
        </w:rPr>
      </w:pPr>
    </w:p>
    <w:p w14:paraId="6BF4EC93" w14:textId="77777777" w:rsidR="00926DC1" w:rsidRDefault="00926DC1" w:rsidP="00926DC1">
      <w:pPr>
        <w:spacing w:line="259" w:lineRule="auto"/>
        <w:ind w:left="720"/>
        <w:jc w:val="both"/>
        <w:rPr>
          <w:rFonts w:ascii="Cambria" w:hAnsi="Cambria"/>
          <w:sz w:val="22"/>
          <w:szCs w:val="22"/>
          <w:lang w:val="en-US"/>
        </w:rPr>
      </w:pPr>
      <w:r w:rsidRPr="00915AEF">
        <w:rPr>
          <w:rFonts w:ascii="Cambria" w:hAnsi="Cambria"/>
          <w:b/>
          <w:sz w:val="22"/>
          <w:szCs w:val="22"/>
          <w:lang w:val="en-US"/>
        </w:rPr>
        <w:t>Note:</w:t>
      </w:r>
      <w:r w:rsidRPr="00915AEF">
        <w:rPr>
          <w:rFonts w:ascii="Cambria" w:hAnsi="Cambria"/>
          <w:sz w:val="22"/>
          <w:szCs w:val="22"/>
          <w:lang w:val="en-US"/>
        </w:rPr>
        <w:t xml:space="preserve"> In addition to meeting the minimum investment capital requirement, foreign investors need to register a business line suitable to the laboratory's operations, some VSIC codes can describe this operation includes VSIC 7120, 7490, 7213, 8620.</w:t>
      </w:r>
    </w:p>
    <w:p w14:paraId="2E24C28F" w14:textId="77777777" w:rsidR="00926DC1" w:rsidRDefault="00926DC1" w:rsidP="00926DC1">
      <w:pPr>
        <w:spacing w:line="259" w:lineRule="auto"/>
        <w:ind w:left="720"/>
        <w:jc w:val="both"/>
        <w:rPr>
          <w:rFonts w:ascii="Cambria" w:hAnsi="Cambria"/>
          <w:sz w:val="22"/>
          <w:szCs w:val="22"/>
          <w:lang w:val="en-US"/>
        </w:rPr>
      </w:pPr>
    </w:p>
    <w:p w14:paraId="5348A4DD" w14:textId="77777777" w:rsidR="00926DC1" w:rsidRDefault="00926DC1" w:rsidP="00926DC1">
      <w:pPr>
        <w:spacing w:line="259" w:lineRule="auto"/>
        <w:ind w:left="720"/>
        <w:jc w:val="both"/>
        <w:rPr>
          <w:rFonts w:ascii="Cambria" w:hAnsi="Cambria"/>
          <w:sz w:val="22"/>
          <w:szCs w:val="22"/>
          <w:lang w:val="en-US"/>
        </w:rPr>
      </w:pPr>
      <w:r w:rsidRPr="00A3571C">
        <w:rPr>
          <w:rFonts w:ascii="Cambria" w:hAnsi="Cambria"/>
          <w:sz w:val="22"/>
          <w:szCs w:val="22"/>
          <w:lang w:val="en-US"/>
        </w:rPr>
        <w:t>Regarding the application for a sub-license of laboratory, after establishing a business and satisfying the conditions for facilities, medical equipment and personnel, the foreign investor shall apply for an operation license for laboratories (operating licenses for medical examination and treat</w:t>
      </w:r>
      <w:r>
        <w:rPr>
          <w:rFonts w:ascii="Cambria" w:hAnsi="Cambria"/>
          <w:sz w:val="22"/>
          <w:szCs w:val="22"/>
          <w:lang w:val="en-US"/>
        </w:rPr>
        <w:t>ment facilities). To apply for this</w:t>
      </w:r>
      <w:r w:rsidRPr="00A3571C">
        <w:rPr>
          <w:rFonts w:ascii="Cambria" w:hAnsi="Cambria"/>
          <w:sz w:val="22"/>
          <w:szCs w:val="22"/>
          <w:lang w:val="en-US"/>
        </w:rPr>
        <w:t xml:space="preserve"> license, the investor prepares a dossier including the documents specified in Article 43.1 of Decree 109/2016/ND-CP and submits it directly or via post to the Department of Health.</w:t>
      </w:r>
    </w:p>
    <w:p w14:paraId="24E9A5FA" w14:textId="77777777" w:rsidR="00926DC1" w:rsidRDefault="00926DC1" w:rsidP="00926DC1">
      <w:pPr>
        <w:spacing w:line="259" w:lineRule="auto"/>
        <w:ind w:left="720"/>
        <w:jc w:val="both"/>
        <w:rPr>
          <w:rFonts w:ascii="Cambria" w:hAnsi="Cambria"/>
          <w:sz w:val="22"/>
          <w:szCs w:val="22"/>
          <w:lang w:val="en-US"/>
        </w:rPr>
      </w:pPr>
    </w:p>
    <w:p w14:paraId="32912CAE" w14:textId="77777777" w:rsidR="00926DC1" w:rsidRDefault="00926DC1" w:rsidP="00926DC1">
      <w:pPr>
        <w:spacing w:line="259" w:lineRule="auto"/>
        <w:ind w:left="720"/>
        <w:jc w:val="both"/>
        <w:rPr>
          <w:rFonts w:ascii="Cambria" w:hAnsi="Cambria"/>
          <w:sz w:val="22"/>
          <w:szCs w:val="22"/>
          <w:lang w:val="en-US"/>
        </w:rPr>
      </w:pPr>
      <w:r w:rsidRPr="00A3571C">
        <w:rPr>
          <w:rFonts w:ascii="Cambria" w:hAnsi="Cambria"/>
          <w:sz w:val="22"/>
          <w:szCs w:val="22"/>
          <w:lang w:val="en-US"/>
        </w:rPr>
        <w:t>Upon receiving a complete and valid dossier, the Department of Health will review the dossier and appraise at the laboratory. According to the Fee Schedule in the health sector promulgated together with Circular 278/2016/TT-BTC, the appraisement fee for laboratories is VND 4,300,000.</w:t>
      </w:r>
    </w:p>
    <w:p w14:paraId="066BE648" w14:textId="77777777" w:rsidR="00926DC1" w:rsidRDefault="00926DC1" w:rsidP="00926DC1">
      <w:pPr>
        <w:spacing w:line="259" w:lineRule="auto"/>
        <w:ind w:left="720"/>
        <w:jc w:val="both"/>
        <w:rPr>
          <w:rFonts w:ascii="Cambria" w:hAnsi="Cambria"/>
          <w:sz w:val="22"/>
          <w:szCs w:val="22"/>
          <w:lang w:val="en-US"/>
        </w:rPr>
      </w:pPr>
    </w:p>
    <w:p w14:paraId="746E0E2D" w14:textId="78779C6D" w:rsidR="00926DC1" w:rsidRDefault="00926DC1" w:rsidP="00926DC1">
      <w:pPr>
        <w:spacing w:line="259" w:lineRule="auto"/>
        <w:ind w:left="720"/>
        <w:jc w:val="both"/>
        <w:rPr>
          <w:rFonts w:ascii="Cambria" w:hAnsi="Cambria"/>
          <w:sz w:val="22"/>
          <w:szCs w:val="22"/>
          <w:lang w:val="en-US"/>
        </w:rPr>
      </w:pPr>
      <w:r w:rsidRPr="00A3571C">
        <w:rPr>
          <w:rFonts w:ascii="Cambria" w:hAnsi="Cambria"/>
          <w:sz w:val="22"/>
          <w:szCs w:val="22"/>
          <w:lang w:val="en-US"/>
        </w:rPr>
        <w:t>Within 45</w:t>
      </w:r>
      <w:r w:rsidR="00E4494A">
        <w:rPr>
          <w:rFonts w:ascii="Cambria" w:hAnsi="Cambria"/>
          <w:sz w:val="22"/>
          <w:szCs w:val="22"/>
          <w:lang w:val="en-US"/>
        </w:rPr>
        <w:t xml:space="preserve"> - 60</w:t>
      </w:r>
      <w:r w:rsidRPr="00A3571C">
        <w:rPr>
          <w:rFonts w:ascii="Cambria" w:hAnsi="Cambria"/>
          <w:sz w:val="22"/>
          <w:szCs w:val="22"/>
          <w:lang w:val="en-US"/>
        </w:rPr>
        <w:t xml:space="preserve"> working days from the date of receiving the application, the Director of the Department of Health shall issue an operation license to the investor. In case the operation license is not issued, it must reply in writing and state the reasons therefore.</w:t>
      </w:r>
    </w:p>
    <w:p w14:paraId="3D22D320" w14:textId="77777777" w:rsidR="00926DC1" w:rsidRDefault="00926DC1" w:rsidP="00926DC1">
      <w:pPr>
        <w:spacing w:line="259" w:lineRule="auto"/>
        <w:ind w:left="720"/>
        <w:jc w:val="both"/>
        <w:rPr>
          <w:rFonts w:ascii="Cambria" w:hAnsi="Cambria"/>
          <w:sz w:val="22"/>
          <w:szCs w:val="22"/>
          <w:lang w:val="en-US"/>
        </w:rPr>
      </w:pPr>
    </w:p>
    <w:p w14:paraId="7C0A5959" w14:textId="77777777" w:rsidR="00915AEF" w:rsidRPr="00915AEF" w:rsidRDefault="00926DC1" w:rsidP="00926DC1">
      <w:pPr>
        <w:spacing w:line="259" w:lineRule="auto"/>
        <w:ind w:left="720"/>
        <w:jc w:val="right"/>
        <w:rPr>
          <w:rFonts w:ascii="Cambria" w:hAnsi="Cambria"/>
          <w:b/>
          <w:sz w:val="22"/>
          <w:szCs w:val="22"/>
          <w:u w:val="single"/>
          <w:lang w:val="en-US"/>
        </w:rPr>
      </w:pPr>
      <w:r w:rsidRPr="00A3571C">
        <w:rPr>
          <w:rFonts w:ascii="Cambria" w:hAnsi="Cambria"/>
          <w:b/>
          <w:sz w:val="22"/>
          <w:szCs w:val="22"/>
          <w:u w:val="single"/>
          <w:lang w:val="en-US"/>
        </w:rPr>
        <w:t>ADK &amp; Co Vietnam Lawyer Law Firm</w:t>
      </w:r>
    </w:p>
    <w:p w14:paraId="7F1ED3B1" w14:textId="77777777" w:rsidR="00626F47" w:rsidRPr="00C74387" w:rsidRDefault="00626F47" w:rsidP="00926DC1">
      <w:pPr>
        <w:spacing w:line="259" w:lineRule="auto"/>
        <w:rPr>
          <w:rFonts w:ascii="Cambria" w:hAnsi="Cambria"/>
          <w:sz w:val="22"/>
          <w:szCs w:val="22"/>
          <w:lang w:val="en-US"/>
        </w:rPr>
      </w:pPr>
    </w:p>
    <w:sectPr w:rsidR="00626F47" w:rsidRPr="00C74387" w:rsidSect="001D07CD">
      <w:headerReference w:type="default" r:id="rId8"/>
      <w:footerReference w:type="default" r:id="rId9"/>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9A00" w14:textId="77777777" w:rsidR="004E2057" w:rsidRDefault="004E2057">
      <w:r>
        <w:separator/>
      </w:r>
    </w:p>
  </w:endnote>
  <w:endnote w:type="continuationSeparator" w:id="0">
    <w:p w14:paraId="0A708674" w14:textId="77777777" w:rsidR="004E2057" w:rsidRDefault="004E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11E6D773" w14:textId="77777777" w:rsidR="00112037" w:rsidRPr="00591F1C" w:rsidRDefault="004E2057"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hAnsi="Palatino Linotype"/>
            <w:b/>
            <w:sz w:val="18"/>
            <w:szCs w:val="18"/>
          </w:rPr>
        </w:pPr>
        <w:sdt>
          <w:sdtPr>
            <w:rPr>
              <w:rFonts w:ascii="Palatino Linotype" w:hAnsi="Palatino Linotype"/>
              <w:b/>
              <w:sz w:val="18"/>
              <w:szCs w:val="18"/>
            </w:rPr>
            <w:id w:val="-1769616900"/>
            <w:docPartObj>
              <w:docPartGallery w:val="Page Numbers (Top of Page)"/>
              <w:docPartUnique/>
            </w:docPartObj>
          </w:sdtPr>
          <w:sdtEndPr>
            <w:rPr>
              <w:rFonts w:ascii="Times New Roman" w:hAnsi="Times New Roman"/>
              <w:b w:val="0"/>
              <w:sz w:val="24"/>
              <w:szCs w:val="24"/>
            </w:rPr>
          </w:sdtEndPr>
          <w:sdtContent>
            <w:r w:rsidR="00112037">
              <w:rPr>
                <w:rFonts w:ascii="Palatino Linotype" w:hAnsi="Palatino Linotype"/>
                <w:b/>
                <w:sz w:val="18"/>
                <w:szCs w:val="18"/>
              </w:rPr>
              <w:tab/>
            </w:r>
          </w:sdtContent>
        </w:sdt>
        <w:r w:rsidR="00112037" w:rsidRPr="00591F1C">
          <w:rPr>
            <w:rFonts w:ascii="Palatino Linotype" w:hAnsi="Palatino Linotype"/>
            <w:b/>
            <w:sz w:val="18"/>
            <w:szCs w:val="18"/>
          </w:rPr>
          <w:t>ADK</w:t>
        </w:r>
        <w:r w:rsidR="00112037">
          <w:rPr>
            <w:rFonts w:ascii="Palatino Linotype" w:hAnsi="Palatino Linotype"/>
            <w:b/>
            <w:sz w:val="18"/>
            <w:szCs w:val="18"/>
          </w:rPr>
          <w:t xml:space="preserve"> &amp; Co Lawyers</w:t>
        </w:r>
      </w:p>
      <w:p w14:paraId="5FE410EC" w14:textId="77777777" w:rsidR="00112037" w:rsidRDefault="004E2057"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112037" w:rsidRPr="00D644F3">
            <w:rPr>
              <w:rStyle w:val="Hyperlink"/>
              <w:rFonts w:ascii="Palatino Linotype" w:hAnsi="Palatino Linotype"/>
              <w:sz w:val="18"/>
              <w:szCs w:val="18"/>
            </w:rPr>
            <w:t>www.adk-lawyers.com</w:t>
          </w:r>
        </w:hyperlink>
      </w:p>
      <w:p w14:paraId="3FBC71DB" w14:textId="337E4960" w:rsidR="00112037" w:rsidRDefault="004E2057"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15C5" w14:textId="77777777" w:rsidR="004E2057" w:rsidRDefault="004E2057">
      <w:r>
        <w:separator/>
      </w:r>
    </w:p>
  </w:footnote>
  <w:footnote w:type="continuationSeparator" w:id="0">
    <w:p w14:paraId="52D2BF90" w14:textId="77777777" w:rsidR="004E2057" w:rsidRDefault="004E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8F13" w14:textId="77777777" w:rsidR="00112037" w:rsidRDefault="00112037" w:rsidP="00CA0056">
    <w:pPr>
      <w:pStyle w:val="Header"/>
      <w:ind w:left="-1440"/>
    </w:pPr>
    <w:r>
      <w:rPr>
        <w:lang w:val="en-US"/>
      </w:rPr>
      <w:drawing>
        <wp:inline distT="0" distB="0" distL="0" distR="0" wp14:anchorId="542E7F51" wp14:editId="16D7286F">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237"/>
    <w:multiLevelType w:val="hybridMultilevel"/>
    <w:tmpl w:val="9BE6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B1068"/>
    <w:multiLevelType w:val="hybridMultilevel"/>
    <w:tmpl w:val="9380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B0AD4"/>
    <w:multiLevelType w:val="hybridMultilevel"/>
    <w:tmpl w:val="41E0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179AA"/>
    <w:multiLevelType w:val="hybridMultilevel"/>
    <w:tmpl w:val="64DEFF96"/>
    <w:lvl w:ilvl="0" w:tplc="49908B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C53DC1"/>
    <w:multiLevelType w:val="hybridMultilevel"/>
    <w:tmpl w:val="96D60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074DAB"/>
    <w:multiLevelType w:val="hybridMultilevel"/>
    <w:tmpl w:val="B99AD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A41191"/>
    <w:multiLevelType w:val="hybridMultilevel"/>
    <w:tmpl w:val="9C96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A0740"/>
    <w:multiLevelType w:val="hybridMultilevel"/>
    <w:tmpl w:val="BB74BF84"/>
    <w:lvl w:ilvl="0" w:tplc="5560D2A6">
      <w:start w:val="1"/>
      <w:numFmt w:val="lowerRoman"/>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4743A6"/>
    <w:multiLevelType w:val="hybridMultilevel"/>
    <w:tmpl w:val="249E0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2"/>
  </w:num>
  <w:num w:numId="6">
    <w:abstractNumId w:val="0"/>
  </w:num>
  <w:num w:numId="7">
    <w:abstractNumId w:val="3"/>
  </w:num>
  <w:num w:numId="8">
    <w:abstractNumId w:val="6"/>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6E"/>
    <w:rsid w:val="00000DE4"/>
    <w:rsid w:val="00002EC4"/>
    <w:rsid w:val="000202C6"/>
    <w:rsid w:val="000215F4"/>
    <w:rsid w:val="00033826"/>
    <w:rsid w:val="00041BDF"/>
    <w:rsid w:val="00047E61"/>
    <w:rsid w:val="0006148F"/>
    <w:rsid w:val="0007554D"/>
    <w:rsid w:val="00092478"/>
    <w:rsid w:val="000954A5"/>
    <w:rsid w:val="000964A4"/>
    <w:rsid w:val="000A01C0"/>
    <w:rsid w:val="000B5FA7"/>
    <w:rsid w:val="000C318C"/>
    <w:rsid w:val="000C4C54"/>
    <w:rsid w:val="000C6FA2"/>
    <w:rsid w:val="000E054A"/>
    <w:rsid w:val="000E37A2"/>
    <w:rsid w:val="000E7060"/>
    <w:rsid w:val="00100B78"/>
    <w:rsid w:val="00112037"/>
    <w:rsid w:val="00117367"/>
    <w:rsid w:val="00132EC7"/>
    <w:rsid w:val="00133C87"/>
    <w:rsid w:val="00134E7B"/>
    <w:rsid w:val="001408CF"/>
    <w:rsid w:val="00147534"/>
    <w:rsid w:val="001551D1"/>
    <w:rsid w:val="001767C8"/>
    <w:rsid w:val="00180219"/>
    <w:rsid w:val="0018243F"/>
    <w:rsid w:val="00185254"/>
    <w:rsid w:val="001B1311"/>
    <w:rsid w:val="001D07CD"/>
    <w:rsid w:val="001D1B38"/>
    <w:rsid w:val="001D1FB0"/>
    <w:rsid w:val="001D64E2"/>
    <w:rsid w:val="001F2DFF"/>
    <w:rsid w:val="002001FD"/>
    <w:rsid w:val="00201459"/>
    <w:rsid w:val="002039B6"/>
    <w:rsid w:val="0020421D"/>
    <w:rsid w:val="00207762"/>
    <w:rsid w:val="00217694"/>
    <w:rsid w:val="00227135"/>
    <w:rsid w:val="00230BC4"/>
    <w:rsid w:val="0023731C"/>
    <w:rsid w:val="002442A1"/>
    <w:rsid w:val="00265FA1"/>
    <w:rsid w:val="00266F13"/>
    <w:rsid w:val="002877E3"/>
    <w:rsid w:val="0029078D"/>
    <w:rsid w:val="002A59EB"/>
    <w:rsid w:val="002B0ED2"/>
    <w:rsid w:val="002B6C08"/>
    <w:rsid w:val="002C279D"/>
    <w:rsid w:val="002D0E76"/>
    <w:rsid w:val="002D7725"/>
    <w:rsid w:val="002E4F66"/>
    <w:rsid w:val="002F5B4B"/>
    <w:rsid w:val="002F76BF"/>
    <w:rsid w:val="00303818"/>
    <w:rsid w:val="003068C2"/>
    <w:rsid w:val="003201E4"/>
    <w:rsid w:val="00351D9C"/>
    <w:rsid w:val="00360B61"/>
    <w:rsid w:val="003646B0"/>
    <w:rsid w:val="00367EF6"/>
    <w:rsid w:val="00383A61"/>
    <w:rsid w:val="00387487"/>
    <w:rsid w:val="0039278B"/>
    <w:rsid w:val="003979DC"/>
    <w:rsid w:val="00397F6D"/>
    <w:rsid w:val="003A47E3"/>
    <w:rsid w:val="003B1DA1"/>
    <w:rsid w:val="003B29E1"/>
    <w:rsid w:val="003C62A4"/>
    <w:rsid w:val="003D2284"/>
    <w:rsid w:val="003D233A"/>
    <w:rsid w:val="003D2CA7"/>
    <w:rsid w:val="003D7192"/>
    <w:rsid w:val="003D72A3"/>
    <w:rsid w:val="003F11FD"/>
    <w:rsid w:val="00412B05"/>
    <w:rsid w:val="004140CE"/>
    <w:rsid w:val="00421085"/>
    <w:rsid w:val="004304F4"/>
    <w:rsid w:val="00435A4B"/>
    <w:rsid w:val="00447394"/>
    <w:rsid w:val="004561DE"/>
    <w:rsid w:val="00457702"/>
    <w:rsid w:val="00457A78"/>
    <w:rsid w:val="00463D6D"/>
    <w:rsid w:val="004710EE"/>
    <w:rsid w:val="00472945"/>
    <w:rsid w:val="0047359F"/>
    <w:rsid w:val="00473F0A"/>
    <w:rsid w:val="004A34E8"/>
    <w:rsid w:val="004A35E6"/>
    <w:rsid w:val="004A56C1"/>
    <w:rsid w:val="004A58A0"/>
    <w:rsid w:val="004A6D9C"/>
    <w:rsid w:val="004C1A53"/>
    <w:rsid w:val="004C5170"/>
    <w:rsid w:val="004D4F93"/>
    <w:rsid w:val="004E2057"/>
    <w:rsid w:val="004F261A"/>
    <w:rsid w:val="00500BF5"/>
    <w:rsid w:val="00500EE8"/>
    <w:rsid w:val="00504A7F"/>
    <w:rsid w:val="00505727"/>
    <w:rsid w:val="00507F01"/>
    <w:rsid w:val="0051261A"/>
    <w:rsid w:val="00513943"/>
    <w:rsid w:val="00514C86"/>
    <w:rsid w:val="00522767"/>
    <w:rsid w:val="00535E46"/>
    <w:rsid w:val="00536EE8"/>
    <w:rsid w:val="005379C2"/>
    <w:rsid w:val="00543330"/>
    <w:rsid w:val="0054752B"/>
    <w:rsid w:val="00550788"/>
    <w:rsid w:val="005564D3"/>
    <w:rsid w:val="00567FBE"/>
    <w:rsid w:val="00593149"/>
    <w:rsid w:val="0059683A"/>
    <w:rsid w:val="005978A6"/>
    <w:rsid w:val="005A1E77"/>
    <w:rsid w:val="005A5E2D"/>
    <w:rsid w:val="005A7B30"/>
    <w:rsid w:val="005B5F7E"/>
    <w:rsid w:val="005C3A93"/>
    <w:rsid w:val="005C446C"/>
    <w:rsid w:val="005C78C5"/>
    <w:rsid w:val="005D29B4"/>
    <w:rsid w:val="005E2F60"/>
    <w:rsid w:val="005F523A"/>
    <w:rsid w:val="005F74BE"/>
    <w:rsid w:val="006060FB"/>
    <w:rsid w:val="006062E4"/>
    <w:rsid w:val="00606FD9"/>
    <w:rsid w:val="00626F47"/>
    <w:rsid w:val="006316B4"/>
    <w:rsid w:val="0064682D"/>
    <w:rsid w:val="006473C7"/>
    <w:rsid w:val="0065438C"/>
    <w:rsid w:val="006718E5"/>
    <w:rsid w:val="00672020"/>
    <w:rsid w:val="0067693A"/>
    <w:rsid w:val="00695CA2"/>
    <w:rsid w:val="006B11C7"/>
    <w:rsid w:val="006B187D"/>
    <w:rsid w:val="006B5C88"/>
    <w:rsid w:val="006C5EAF"/>
    <w:rsid w:val="006C6FD2"/>
    <w:rsid w:val="006D2AE9"/>
    <w:rsid w:val="006D570E"/>
    <w:rsid w:val="006E4346"/>
    <w:rsid w:val="006F5B52"/>
    <w:rsid w:val="006F725A"/>
    <w:rsid w:val="00712503"/>
    <w:rsid w:val="00724073"/>
    <w:rsid w:val="00744638"/>
    <w:rsid w:val="00752241"/>
    <w:rsid w:val="0076386E"/>
    <w:rsid w:val="007714DC"/>
    <w:rsid w:val="0078594B"/>
    <w:rsid w:val="007929EB"/>
    <w:rsid w:val="0079310C"/>
    <w:rsid w:val="0079686F"/>
    <w:rsid w:val="007A0FED"/>
    <w:rsid w:val="007A29AA"/>
    <w:rsid w:val="007A5096"/>
    <w:rsid w:val="007A5C83"/>
    <w:rsid w:val="007C23E5"/>
    <w:rsid w:val="007C49DC"/>
    <w:rsid w:val="007E0CA4"/>
    <w:rsid w:val="007E0EA4"/>
    <w:rsid w:val="007E2072"/>
    <w:rsid w:val="007E25F7"/>
    <w:rsid w:val="007F450A"/>
    <w:rsid w:val="00802682"/>
    <w:rsid w:val="00807A86"/>
    <w:rsid w:val="00812910"/>
    <w:rsid w:val="00816D72"/>
    <w:rsid w:val="00833844"/>
    <w:rsid w:val="00835643"/>
    <w:rsid w:val="0084056E"/>
    <w:rsid w:val="0084563B"/>
    <w:rsid w:val="00846024"/>
    <w:rsid w:val="00860780"/>
    <w:rsid w:val="00873CBD"/>
    <w:rsid w:val="00885F88"/>
    <w:rsid w:val="00895EF2"/>
    <w:rsid w:val="00896C0B"/>
    <w:rsid w:val="008A0974"/>
    <w:rsid w:val="008A680A"/>
    <w:rsid w:val="008B697B"/>
    <w:rsid w:val="008B7D3D"/>
    <w:rsid w:val="008C36A1"/>
    <w:rsid w:val="008C626C"/>
    <w:rsid w:val="008D048F"/>
    <w:rsid w:val="008D08EF"/>
    <w:rsid w:val="008D0C25"/>
    <w:rsid w:val="008D2950"/>
    <w:rsid w:val="0091108E"/>
    <w:rsid w:val="00926DC1"/>
    <w:rsid w:val="009459AC"/>
    <w:rsid w:val="0094799C"/>
    <w:rsid w:val="00966C02"/>
    <w:rsid w:val="00970230"/>
    <w:rsid w:val="0097586C"/>
    <w:rsid w:val="00976CB7"/>
    <w:rsid w:val="009832A3"/>
    <w:rsid w:val="0098396F"/>
    <w:rsid w:val="0098562C"/>
    <w:rsid w:val="00986DDC"/>
    <w:rsid w:val="009968F9"/>
    <w:rsid w:val="009A052B"/>
    <w:rsid w:val="009C122B"/>
    <w:rsid w:val="009C3A52"/>
    <w:rsid w:val="009C4747"/>
    <w:rsid w:val="009C5EC7"/>
    <w:rsid w:val="009D13A3"/>
    <w:rsid w:val="009D4EA3"/>
    <w:rsid w:val="009D5690"/>
    <w:rsid w:val="009E0C85"/>
    <w:rsid w:val="009E4C81"/>
    <w:rsid w:val="009E57D4"/>
    <w:rsid w:val="00A10267"/>
    <w:rsid w:val="00A11442"/>
    <w:rsid w:val="00A42339"/>
    <w:rsid w:val="00A51095"/>
    <w:rsid w:val="00A51B6B"/>
    <w:rsid w:val="00A55648"/>
    <w:rsid w:val="00A57DDA"/>
    <w:rsid w:val="00A733E7"/>
    <w:rsid w:val="00AB3C19"/>
    <w:rsid w:val="00AB4F56"/>
    <w:rsid w:val="00AB6D84"/>
    <w:rsid w:val="00AC5216"/>
    <w:rsid w:val="00AE040F"/>
    <w:rsid w:val="00B02E04"/>
    <w:rsid w:val="00B11DE5"/>
    <w:rsid w:val="00B13E51"/>
    <w:rsid w:val="00B23F29"/>
    <w:rsid w:val="00B420F2"/>
    <w:rsid w:val="00B45730"/>
    <w:rsid w:val="00B572DC"/>
    <w:rsid w:val="00B66B78"/>
    <w:rsid w:val="00B7174D"/>
    <w:rsid w:val="00B90DC2"/>
    <w:rsid w:val="00B97E56"/>
    <w:rsid w:val="00BA4CF1"/>
    <w:rsid w:val="00BB6ACB"/>
    <w:rsid w:val="00BC7E43"/>
    <w:rsid w:val="00BE0FFC"/>
    <w:rsid w:val="00BE40D3"/>
    <w:rsid w:val="00BF14E8"/>
    <w:rsid w:val="00C01C18"/>
    <w:rsid w:val="00C02A12"/>
    <w:rsid w:val="00C15C2F"/>
    <w:rsid w:val="00C23266"/>
    <w:rsid w:val="00C23A7C"/>
    <w:rsid w:val="00C27675"/>
    <w:rsid w:val="00C34C89"/>
    <w:rsid w:val="00C37DF2"/>
    <w:rsid w:val="00C429EA"/>
    <w:rsid w:val="00C459AF"/>
    <w:rsid w:val="00C46962"/>
    <w:rsid w:val="00C502D1"/>
    <w:rsid w:val="00C73478"/>
    <w:rsid w:val="00C74387"/>
    <w:rsid w:val="00C90168"/>
    <w:rsid w:val="00CA0056"/>
    <w:rsid w:val="00CD2C6C"/>
    <w:rsid w:val="00CE6A5E"/>
    <w:rsid w:val="00CF4668"/>
    <w:rsid w:val="00CF7338"/>
    <w:rsid w:val="00D008A3"/>
    <w:rsid w:val="00D02105"/>
    <w:rsid w:val="00D05134"/>
    <w:rsid w:val="00D10564"/>
    <w:rsid w:val="00D11DED"/>
    <w:rsid w:val="00D14DBB"/>
    <w:rsid w:val="00D179D7"/>
    <w:rsid w:val="00D23C10"/>
    <w:rsid w:val="00D300F7"/>
    <w:rsid w:val="00D30562"/>
    <w:rsid w:val="00D3143E"/>
    <w:rsid w:val="00D345CE"/>
    <w:rsid w:val="00D367D9"/>
    <w:rsid w:val="00D40247"/>
    <w:rsid w:val="00D41AAF"/>
    <w:rsid w:val="00D421FA"/>
    <w:rsid w:val="00D4452D"/>
    <w:rsid w:val="00D50D0C"/>
    <w:rsid w:val="00D60C38"/>
    <w:rsid w:val="00D67F9A"/>
    <w:rsid w:val="00D72D27"/>
    <w:rsid w:val="00D86A22"/>
    <w:rsid w:val="00D9457A"/>
    <w:rsid w:val="00DA2CCF"/>
    <w:rsid w:val="00DA50A7"/>
    <w:rsid w:val="00DB6DD4"/>
    <w:rsid w:val="00DB7AA9"/>
    <w:rsid w:val="00DD0F8D"/>
    <w:rsid w:val="00E07221"/>
    <w:rsid w:val="00E07477"/>
    <w:rsid w:val="00E115E3"/>
    <w:rsid w:val="00E17BA8"/>
    <w:rsid w:val="00E328B7"/>
    <w:rsid w:val="00E331AB"/>
    <w:rsid w:val="00E35D38"/>
    <w:rsid w:val="00E363E8"/>
    <w:rsid w:val="00E41DD2"/>
    <w:rsid w:val="00E4494A"/>
    <w:rsid w:val="00E55480"/>
    <w:rsid w:val="00E557DD"/>
    <w:rsid w:val="00E559B5"/>
    <w:rsid w:val="00E67A4D"/>
    <w:rsid w:val="00E7135A"/>
    <w:rsid w:val="00E729A3"/>
    <w:rsid w:val="00E72AA9"/>
    <w:rsid w:val="00E77CEF"/>
    <w:rsid w:val="00E8059E"/>
    <w:rsid w:val="00E806F3"/>
    <w:rsid w:val="00E849CC"/>
    <w:rsid w:val="00E96FF5"/>
    <w:rsid w:val="00EA5823"/>
    <w:rsid w:val="00EE402C"/>
    <w:rsid w:val="00EF2464"/>
    <w:rsid w:val="00EF40D4"/>
    <w:rsid w:val="00EF4B6B"/>
    <w:rsid w:val="00F04012"/>
    <w:rsid w:val="00F04962"/>
    <w:rsid w:val="00F10E39"/>
    <w:rsid w:val="00F233DE"/>
    <w:rsid w:val="00F2552F"/>
    <w:rsid w:val="00F25670"/>
    <w:rsid w:val="00F302DA"/>
    <w:rsid w:val="00F37CC5"/>
    <w:rsid w:val="00F4651B"/>
    <w:rsid w:val="00F518F1"/>
    <w:rsid w:val="00F51FFE"/>
    <w:rsid w:val="00F6492A"/>
    <w:rsid w:val="00F80688"/>
    <w:rsid w:val="00F85A31"/>
    <w:rsid w:val="00F9609A"/>
    <w:rsid w:val="00FA4351"/>
    <w:rsid w:val="00FA5F98"/>
    <w:rsid w:val="00FB051B"/>
    <w:rsid w:val="00FB364F"/>
    <w:rsid w:val="00FB75E3"/>
    <w:rsid w:val="00FC6E82"/>
    <w:rsid w:val="00F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DFDC"/>
  <w15:docId w15:val="{1CC338F5-1992-4E25-B2F2-DC64EB8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6E"/>
    <w:pPr>
      <w:spacing w:after="0" w:line="240" w:lineRule="auto"/>
    </w:pPr>
    <w:rPr>
      <w:rFonts w:ascii="Times New Roman" w:eastAsia="Times New Roman" w:hAnsi="Times New Roman" w:cs="Times New Roman"/>
      <w:noProof/>
      <w:sz w:val="24"/>
      <w:szCs w:val="24"/>
      <w:lang w:val="vi-VN"/>
    </w:rPr>
  </w:style>
  <w:style w:type="paragraph" w:styleId="Heading2">
    <w:name w:val="heading 2"/>
    <w:basedOn w:val="Normal"/>
    <w:link w:val="Heading2Char"/>
    <w:uiPriority w:val="9"/>
    <w:qFormat/>
    <w:rsid w:val="00B4573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457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86E"/>
  </w:style>
  <w:style w:type="paragraph" w:styleId="Footer">
    <w:name w:val="footer"/>
    <w:basedOn w:val="Normal"/>
    <w:link w:val="Foot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86E"/>
  </w:style>
  <w:style w:type="character" w:styleId="Strong">
    <w:name w:val="Strong"/>
    <w:basedOn w:val="DefaultParagraphFont"/>
    <w:uiPriority w:val="22"/>
    <w:qFormat/>
    <w:rsid w:val="0076386E"/>
    <w:rPr>
      <w:b/>
      <w:bCs/>
    </w:rPr>
  </w:style>
  <w:style w:type="paragraph" w:styleId="NormalWeb">
    <w:name w:val="Normal (Web)"/>
    <w:basedOn w:val="Normal"/>
    <w:uiPriority w:val="99"/>
    <w:unhideWhenUsed/>
    <w:rsid w:val="0076386E"/>
    <w:pPr>
      <w:spacing w:before="100" w:beforeAutospacing="1" w:after="100" w:afterAutospacing="1"/>
    </w:pPr>
  </w:style>
  <w:style w:type="character" w:styleId="Hyperlink">
    <w:name w:val="Hyperlink"/>
    <w:basedOn w:val="DefaultParagraphFont"/>
    <w:uiPriority w:val="99"/>
    <w:unhideWhenUsed/>
    <w:rsid w:val="0076386E"/>
    <w:rPr>
      <w:color w:val="0000FF"/>
      <w:u w:val="single"/>
    </w:rPr>
  </w:style>
  <w:style w:type="paragraph" w:styleId="ListParagraph">
    <w:name w:val="List Paragraph"/>
    <w:basedOn w:val="Normal"/>
    <w:link w:val="ListParagraphChar"/>
    <w:uiPriority w:val="34"/>
    <w:qFormat/>
    <w:rsid w:val="0076386E"/>
    <w:pPr>
      <w:ind w:left="720"/>
      <w:contextualSpacing/>
    </w:pPr>
  </w:style>
  <w:style w:type="paragraph" w:styleId="BalloonText">
    <w:name w:val="Balloon Text"/>
    <w:basedOn w:val="Normal"/>
    <w:link w:val="BalloonTextChar"/>
    <w:uiPriority w:val="99"/>
    <w:semiHidden/>
    <w:unhideWhenUsed/>
    <w:rsid w:val="00763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457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5730"/>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B66B78"/>
    <w:rPr>
      <w:color w:val="605E5C"/>
      <w:shd w:val="clear" w:color="auto" w:fill="E1DFDD"/>
    </w:rPr>
  </w:style>
  <w:style w:type="character" w:styleId="CommentReference">
    <w:name w:val="annotation reference"/>
    <w:basedOn w:val="DefaultParagraphFont"/>
    <w:uiPriority w:val="99"/>
    <w:semiHidden/>
    <w:unhideWhenUsed/>
    <w:rsid w:val="003646B0"/>
    <w:rPr>
      <w:sz w:val="16"/>
      <w:szCs w:val="16"/>
    </w:rPr>
  </w:style>
  <w:style w:type="paragraph" w:styleId="CommentText">
    <w:name w:val="annotation text"/>
    <w:basedOn w:val="Normal"/>
    <w:link w:val="CommentTextChar"/>
    <w:uiPriority w:val="99"/>
    <w:unhideWhenUsed/>
    <w:rsid w:val="003646B0"/>
    <w:rPr>
      <w:sz w:val="20"/>
      <w:szCs w:val="20"/>
    </w:rPr>
  </w:style>
  <w:style w:type="character" w:customStyle="1" w:styleId="CommentTextChar">
    <w:name w:val="Comment Text Char"/>
    <w:basedOn w:val="DefaultParagraphFont"/>
    <w:link w:val="CommentText"/>
    <w:uiPriority w:val="99"/>
    <w:rsid w:val="00364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46B0"/>
    <w:rPr>
      <w:b/>
      <w:bCs/>
    </w:rPr>
  </w:style>
  <w:style w:type="character" w:customStyle="1" w:styleId="CommentSubjectChar">
    <w:name w:val="Comment Subject Char"/>
    <w:basedOn w:val="CommentTextChar"/>
    <w:link w:val="CommentSubject"/>
    <w:uiPriority w:val="99"/>
    <w:semiHidden/>
    <w:rsid w:val="003646B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473C7"/>
    <w:rPr>
      <w:sz w:val="20"/>
      <w:szCs w:val="20"/>
    </w:rPr>
  </w:style>
  <w:style w:type="character" w:customStyle="1" w:styleId="FootnoteTextChar">
    <w:name w:val="Footnote Text Char"/>
    <w:basedOn w:val="DefaultParagraphFont"/>
    <w:link w:val="FootnoteText"/>
    <w:uiPriority w:val="99"/>
    <w:semiHidden/>
    <w:rsid w:val="006473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73C7"/>
    <w:rPr>
      <w:vertAlign w:val="superscript"/>
    </w:rPr>
  </w:style>
  <w:style w:type="paragraph" w:styleId="HTMLPreformatted">
    <w:name w:val="HTML Preformatted"/>
    <w:basedOn w:val="Normal"/>
    <w:link w:val="HTMLPreformattedChar"/>
    <w:uiPriority w:val="99"/>
    <w:semiHidden/>
    <w:unhideWhenUsed/>
    <w:rsid w:val="005A5E2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5E2D"/>
    <w:rPr>
      <w:rFonts w:ascii="Consolas" w:eastAsia="Times New Roman" w:hAnsi="Consolas" w:cs="Times New Roman"/>
      <w:noProof/>
      <w:sz w:val="20"/>
      <w:szCs w:val="20"/>
      <w:lang w:val="vi-VN"/>
    </w:rPr>
  </w:style>
  <w:style w:type="character" w:customStyle="1" w:styleId="ListParagraphChar">
    <w:name w:val="List Paragraph Char"/>
    <w:link w:val="ListParagraph"/>
    <w:uiPriority w:val="34"/>
    <w:locked/>
    <w:rsid w:val="00926DC1"/>
    <w:rPr>
      <w:rFonts w:ascii="Times New Roman" w:eastAsia="Times New Roman" w:hAnsi="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672">
      <w:bodyDiv w:val="1"/>
      <w:marLeft w:val="0"/>
      <w:marRight w:val="0"/>
      <w:marTop w:val="0"/>
      <w:marBottom w:val="0"/>
      <w:divBdr>
        <w:top w:val="none" w:sz="0" w:space="0" w:color="auto"/>
        <w:left w:val="none" w:sz="0" w:space="0" w:color="auto"/>
        <w:bottom w:val="none" w:sz="0" w:space="0" w:color="auto"/>
        <w:right w:val="none" w:sz="0" w:space="0" w:color="auto"/>
      </w:divBdr>
    </w:div>
    <w:div w:id="41104199">
      <w:bodyDiv w:val="1"/>
      <w:marLeft w:val="0"/>
      <w:marRight w:val="0"/>
      <w:marTop w:val="0"/>
      <w:marBottom w:val="0"/>
      <w:divBdr>
        <w:top w:val="none" w:sz="0" w:space="0" w:color="auto"/>
        <w:left w:val="none" w:sz="0" w:space="0" w:color="auto"/>
        <w:bottom w:val="none" w:sz="0" w:space="0" w:color="auto"/>
        <w:right w:val="none" w:sz="0" w:space="0" w:color="auto"/>
      </w:divBdr>
    </w:div>
    <w:div w:id="42171627">
      <w:bodyDiv w:val="1"/>
      <w:marLeft w:val="0"/>
      <w:marRight w:val="0"/>
      <w:marTop w:val="0"/>
      <w:marBottom w:val="0"/>
      <w:divBdr>
        <w:top w:val="none" w:sz="0" w:space="0" w:color="auto"/>
        <w:left w:val="none" w:sz="0" w:space="0" w:color="auto"/>
        <w:bottom w:val="none" w:sz="0" w:space="0" w:color="auto"/>
        <w:right w:val="none" w:sz="0" w:space="0" w:color="auto"/>
      </w:divBdr>
    </w:div>
    <w:div w:id="54085618">
      <w:bodyDiv w:val="1"/>
      <w:marLeft w:val="0"/>
      <w:marRight w:val="0"/>
      <w:marTop w:val="0"/>
      <w:marBottom w:val="0"/>
      <w:divBdr>
        <w:top w:val="none" w:sz="0" w:space="0" w:color="auto"/>
        <w:left w:val="none" w:sz="0" w:space="0" w:color="auto"/>
        <w:bottom w:val="none" w:sz="0" w:space="0" w:color="auto"/>
        <w:right w:val="none" w:sz="0" w:space="0" w:color="auto"/>
      </w:divBdr>
    </w:div>
    <w:div w:id="98918544">
      <w:bodyDiv w:val="1"/>
      <w:marLeft w:val="0"/>
      <w:marRight w:val="0"/>
      <w:marTop w:val="0"/>
      <w:marBottom w:val="0"/>
      <w:divBdr>
        <w:top w:val="none" w:sz="0" w:space="0" w:color="auto"/>
        <w:left w:val="none" w:sz="0" w:space="0" w:color="auto"/>
        <w:bottom w:val="none" w:sz="0" w:space="0" w:color="auto"/>
        <w:right w:val="none" w:sz="0" w:space="0" w:color="auto"/>
      </w:divBdr>
    </w:div>
    <w:div w:id="130683151">
      <w:bodyDiv w:val="1"/>
      <w:marLeft w:val="0"/>
      <w:marRight w:val="0"/>
      <w:marTop w:val="0"/>
      <w:marBottom w:val="0"/>
      <w:divBdr>
        <w:top w:val="none" w:sz="0" w:space="0" w:color="auto"/>
        <w:left w:val="none" w:sz="0" w:space="0" w:color="auto"/>
        <w:bottom w:val="none" w:sz="0" w:space="0" w:color="auto"/>
        <w:right w:val="none" w:sz="0" w:space="0" w:color="auto"/>
      </w:divBdr>
    </w:div>
    <w:div w:id="223495751">
      <w:bodyDiv w:val="1"/>
      <w:marLeft w:val="0"/>
      <w:marRight w:val="0"/>
      <w:marTop w:val="0"/>
      <w:marBottom w:val="0"/>
      <w:divBdr>
        <w:top w:val="none" w:sz="0" w:space="0" w:color="auto"/>
        <w:left w:val="none" w:sz="0" w:space="0" w:color="auto"/>
        <w:bottom w:val="none" w:sz="0" w:space="0" w:color="auto"/>
        <w:right w:val="none" w:sz="0" w:space="0" w:color="auto"/>
      </w:divBdr>
    </w:div>
    <w:div w:id="249117427">
      <w:bodyDiv w:val="1"/>
      <w:marLeft w:val="0"/>
      <w:marRight w:val="0"/>
      <w:marTop w:val="0"/>
      <w:marBottom w:val="0"/>
      <w:divBdr>
        <w:top w:val="none" w:sz="0" w:space="0" w:color="auto"/>
        <w:left w:val="none" w:sz="0" w:space="0" w:color="auto"/>
        <w:bottom w:val="none" w:sz="0" w:space="0" w:color="auto"/>
        <w:right w:val="none" w:sz="0" w:space="0" w:color="auto"/>
      </w:divBdr>
    </w:div>
    <w:div w:id="347605542">
      <w:bodyDiv w:val="1"/>
      <w:marLeft w:val="0"/>
      <w:marRight w:val="0"/>
      <w:marTop w:val="0"/>
      <w:marBottom w:val="0"/>
      <w:divBdr>
        <w:top w:val="none" w:sz="0" w:space="0" w:color="auto"/>
        <w:left w:val="none" w:sz="0" w:space="0" w:color="auto"/>
        <w:bottom w:val="none" w:sz="0" w:space="0" w:color="auto"/>
        <w:right w:val="none" w:sz="0" w:space="0" w:color="auto"/>
      </w:divBdr>
    </w:div>
    <w:div w:id="381026524">
      <w:bodyDiv w:val="1"/>
      <w:marLeft w:val="0"/>
      <w:marRight w:val="0"/>
      <w:marTop w:val="0"/>
      <w:marBottom w:val="0"/>
      <w:divBdr>
        <w:top w:val="none" w:sz="0" w:space="0" w:color="auto"/>
        <w:left w:val="none" w:sz="0" w:space="0" w:color="auto"/>
        <w:bottom w:val="none" w:sz="0" w:space="0" w:color="auto"/>
        <w:right w:val="none" w:sz="0" w:space="0" w:color="auto"/>
      </w:divBdr>
    </w:div>
    <w:div w:id="424113197">
      <w:bodyDiv w:val="1"/>
      <w:marLeft w:val="0"/>
      <w:marRight w:val="0"/>
      <w:marTop w:val="0"/>
      <w:marBottom w:val="0"/>
      <w:divBdr>
        <w:top w:val="none" w:sz="0" w:space="0" w:color="auto"/>
        <w:left w:val="none" w:sz="0" w:space="0" w:color="auto"/>
        <w:bottom w:val="none" w:sz="0" w:space="0" w:color="auto"/>
        <w:right w:val="none" w:sz="0" w:space="0" w:color="auto"/>
      </w:divBdr>
    </w:div>
    <w:div w:id="431630037">
      <w:bodyDiv w:val="1"/>
      <w:marLeft w:val="0"/>
      <w:marRight w:val="0"/>
      <w:marTop w:val="0"/>
      <w:marBottom w:val="0"/>
      <w:divBdr>
        <w:top w:val="none" w:sz="0" w:space="0" w:color="auto"/>
        <w:left w:val="none" w:sz="0" w:space="0" w:color="auto"/>
        <w:bottom w:val="none" w:sz="0" w:space="0" w:color="auto"/>
        <w:right w:val="none" w:sz="0" w:space="0" w:color="auto"/>
      </w:divBdr>
    </w:div>
    <w:div w:id="445320807">
      <w:bodyDiv w:val="1"/>
      <w:marLeft w:val="0"/>
      <w:marRight w:val="0"/>
      <w:marTop w:val="0"/>
      <w:marBottom w:val="0"/>
      <w:divBdr>
        <w:top w:val="none" w:sz="0" w:space="0" w:color="auto"/>
        <w:left w:val="none" w:sz="0" w:space="0" w:color="auto"/>
        <w:bottom w:val="none" w:sz="0" w:space="0" w:color="auto"/>
        <w:right w:val="none" w:sz="0" w:space="0" w:color="auto"/>
      </w:divBdr>
    </w:div>
    <w:div w:id="683480937">
      <w:bodyDiv w:val="1"/>
      <w:marLeft w:val="0"/>
      <w:marRight w:val="0"/>
      <w:marTop w:val="0"/>
      <w:marBottom w:val="0"/>
      <w:divBdr>
        <w:top w:val="none" w:sz="0" w:space="0" w:color="auto"/>
        <w:left w:val="none" w:sz="0" w:space="0" w:color="auto"/>
        <w:bottom w:val="none" w:sz="0" w:space="0" w:color="auto"/>
        <w:right w:val="none" w:sz="0" w:space="0" w:color="auto"/>
      </w:divBdr>
    </w:div>
    <w:div w:id="723673101">
      <w:bodyDiv w:val="1"/>
      <w:marLeft w:val="0"/>
      <w:marRight w:val="0"/>
      <w:marTop w:val="0"/>
      <w:marBottom w:val="0"/>
      <w:divBdr>
        <w:top w:val="none" w:sz="0" w:space="0" w:color="auto"/>
        <w:left w:val="none" w:sz="0" w:space="0" w:color="auto"/>
        <w:bottom w:val="none" w:sz="0" w:space="0" w:color="auto"/>
        <w:right w:val="none" w:sz="0" w:space="0" w:color="auto"/>
      </w:divBdr>
    </w:div>
    <w:div w:id="826284335">
      <w:bodyDiv w:val="1"/>
      <w:marLeft w:val="0"/>
      <w:marRight w:val="0"/>
      <w:marTop w:val="0"/>
      <w:marBottom w:val="0"/>
      <w:divBdr>
        <w:top w:val="none" w:sz="0" w:space="0" w:color="auto"/>
        <w:left w:val="none" w:sz="0" w:space="0" w:color="auto"/>
        <w:bottom w:val="none" w:sz="0" w:space="0" w:color="auto"/>
        <w:right w:val="none" w:sz="0" w:space="0" w:color="auto"/>
      </w:divBdr>
    </w:div>
    <w:div w:id="841119118">
      <w:bodyDiv w:val="1"/>
      <w:marLeft w:val="0"/>
      <w:marRight w:val="0"/>
      <w:marTop w:val="0"/>
      <w:marBottom w:val="0"/>
      <w:divBdr>
        <w:top w:val="none" w:sz="0" w:space="0" w:color="auto"/>
        <w:left w:val="none" w:sz="0" w:space="0" w:color="auto"/>
        <w:bottom w:val="none" w:sz="0" w:space="0" w:color="auto"/>
        <w:right w:val="none" w:sz="0" w:space="0" w:color="auto"/>
      </w:divBdr>
    </w:div>
    <w:div w:id="861210645">
      <w:bodyDiv w:val="1"/>
      <w:marLeft w:val="0"/>
      <w:marRight w:val="0"/>
      <w:marTop w:val="0"/>
      <w:marBottom w:val="0"/>
      <w:divBdr>
        <w:top w:val="none" w:sz="0" w:space="0" w:color="auto"/>
        <w:left w:val="none" w:sz="0" w:space="0" w:color="auto"/>
        <w:bottom w:val="none" w:sz="0" w:space="0" w:color="auto"/>
        <w:right w:val="none" w:sz="0" w:space="0" w:color="auto"/>
      </w:divBdr>
    </w:div>
    <w:div w:id="904604181">
      <w:bodyDiv w:val="1"/>
      <w:marLeft w:val="0"/>
      <w:marRight w:val="0"/>
      <w:marTop w:val="0"/>
      <w:marBottom w:val="0"/>
      <w:divBdr>
        <w:top w:val="none" w:sz="0" w:space="0" w:color="auto"/>
        <w:left w:val="none" w:sz="0" w:space="0" w:color="auto"/>
        <w:bottom w:val="none" w:sz="0" w:space="0" w:color="auto"/>
        <w:right w:val="none" w:sz="0" w:space="0" w:color="auto"/>
      </w:divBdr>
    </w:div>
    <w:div w:id="986085051">
      <w:bodyDiv w:val="1"/>
      <w:marLeft w:val="0"/>
      <w:marRight w:val="0"/>
      <w:marTop w:val="0"/>
      <w:marBottom w:val="0"/>
      <w:divBdr>
        <w:top w:val="none" w:sz="0" w:space="0" w:color="auto"/>
        <w:left w:val="none" w:sz="0" w:space="0" w:color="auto"/>
        <w:bottom w:val="none" w:sz="0" w:space="0" w:color="auto"/>
        <w:right w:val="none" w:sz="0" w:space="0" w:color="auto"/>
      </w:divBdr>
    </w:div>
    <w:div w:id="1013998659">
      <w:bodyDiv w:val="1"/>
      <w:marLeft w:val="0"/>
      <w:marRight w:val="0"/>
      <w:marTop w:val="0"/>
      <w:marBottom w:val="0"/>
      <w:divBdr>
        <w:top w:val="none" w:sz="0" w:space="0" w:color="auto"/>
        <w:left w:val="none" w:sz="0" w:space="0" w:color="auto"/>
        <w:bottom w:val="none" w:sz="0" w:space="0" w:color="auto"/>
        <w:right w:val="none" w:sz="0" w:space="0" w:color="auto"/>
      </w:divBdr>
    </w:div>
    <w:div w:id="1063790759">
      <w:bodyDiv w:val="1"/>
      <w:marLeft w:val="0"/>
      <w:marRight w:val="0"/>
      <w:marTop w:val="0"/>
      <w:marBottom w:val="0"/>
      <w:divBdr>
        <w:top w:val="none" w:sz="0" w:space="0" w:color="auto"/>
        <w:left w:val="none" w:sz="0" w:space="0" w:color="auto"/>
        <w:bottom w:val="none" w:sz="0" w:space="0" w:color="auto"/>
        <w:right w:val="none" w:sz="0" w:space="0" w:color="auto"/>
      </w:divBdr>
    </w:div>
    <w:div w:id="1148473172">
      <w:bodyDiv w:val="1"/>
      <w:marLeft w:val="0"/>
      <w:marRight w:val="0"/>
      <w:marTop w:val="0"/>
      <w:marBottom w:val="0"/>
      <w:divBdr>
        <w:top w:val="none" w:sz="0" w:space="0" w:color="auto"/>
        <w:left w:val="none" w:sz="0" w:space="0" w:color="auto"/>
        <w:bottom w:val="none" w:sz="0" w:space="0" w:color="auto"/>
        <w:right w:val="none" w:sz="0" w:space="0" w:color="auto"/>
      </w:divBdr>
    </w:div>
    <w:div w:id="1204446053">
      <w:bodyDiv w:val="1"/>
      <w:marLeft w:val="0"/>
      <w:marRight w:val="0"/>
      <w:marTop w:val="0"/>
      <w:marBottom w:val="0"/>
      <w:divBdr>
        <w:top w:val="none" w:sz="0" w:space="0" w:color="auto"/>
        <w:left w:val="none" w:sz="0" w:space="0" w:color="auto"/>
        <w:bottom w:val="none" w:sz="0" w:space="0" w:color="auto"/>
        <w:right w:val="none" w:sz="0" w:space="0" w:color="auto"/>
      </w:divBdr>
    </w:div>
    <w:div w:id="1332224403">
      <w:bodyDiv w:val="1"/>
      <w:marLeft w:val="0"/>
      <w:marRight w:val="0"/>
      <w:marTop w:val="0"/>
      <w:marBottom w:val="0"/>
      <w:divBdr>
        <w:top w:val="none" w:sz="0" w:space="0" w:color="auto"/>
        <w:left w:val="none" w:sz="0" w:space="0" w:color="auto"/>
        <w:bottom w:val="none" w:sz="0" w:space="0" w:color="auto"/>
        <w:right w:val="none" w:sz="0" w:space="0" w:color="auto"/>
      </w:divBdr>
    </w:div>
    <w:div w:id="1379017037">
      <w:bodyDiv w:val="1"/>
      <w:marLeft w:val="0"/>
      <w:marRight w:val="0"/>
      <w:marTop w:val="0"/>
      <w:marBottom w:val="0"/>
      <w:divBdr>
        <w:top w:val="none" w:sz="0" w:space="0" w:color="auto"/>
        <w:left w:val="none" w:sz="0" w:space="0" w:color="auto"/>
        <w:bottom w:val="none" w:sz="0" w:space="0" w:color="auto"/>
        <w:right w:val="none" w:sz="0" w:space="0" w:color="auto"/>
      </w:divBdr>
    </w:div>
    <w:div w:id="1523787243">
      <w:bodyDiv w:val="1"/>
      <w:marLeft w:val="0"/>
      <w:marRight w:val="0"/>
      <w:marTop w:val="0"/>
      <w:marBottom w:val="0"/>
      <w:divBdr>
        <w:top w:val="none" w:sz="0" w:space="0" w:color="auto"/>
        <w:left w:val="none" w:sz="0" w:space="0" w:color="auto"/>
        <w:bottom w:val="none" w:sz="0" w:space="0" w:color="auto"/>
        <w:right w:val="none" w:sz="0" w:space="0" w:color="auto"/>
      </w:divBdr>
    </w:div>
    <w:div w:id="1603225071">
      <w:bodyDiv w:val="1"/>
      <w:marLeft w:val="0"/>
      <w:marRight w:val="0"/>
      <w:marTop w:val="0"/>
      <w:marBottom w:val="0"/>
      <w:divBdr>
        <w:top w:val="none" w:sz="0" w:space="0" w:color="auto"/>
        <w:left w:val="none" w:sz="0" w:space="0" w:color="auto"/>
        <w:bottom w:val="none" w:sz="0" w:space="0" w:color="auto"/>
        <w:right w:val="none" w:sz="0" w:space="0" w:color="auto"/>
      </w:divBdr>
    </w:div>
    <w:div w:id="1605117316">
      <w:bodyDiv w:val="1"/>
      <w:marLeft w:val="0"/>
      <w:marRight w:val="0"/>
      <w:marTop w:val="0"/>
      <w:marBottom w:val="0"/>
      <w:divBdr>
        <w:top w:val="none" w:sz="0" w:space="0" w:color="auto"/>
        <w:left w:val="none" w:sz="0" w:space="0" w:color="auto"/>
        <w:bottom w:val="none" w:sz="0" w:space="0" w:color="auto"/>
        <w:right w:val="none" w:sz="0" w:space="0" w:color="auto"/>
      </w:divBdr>
    </w:div>
    <w:div w:id="1609192063">
      <w:bodyDiv w:val="1"/>
      <w:marLeft w:val="0"/>
      <w:marRight w:val="0"/>
      <w:marTop w:val="0"/>
      <w:marBottom w:val="0"/>
      <w:divBdr>
        <w:top w:val="none" w:sz="0" w:space="0" w:color="auto"/>
        <w:left w:val="none" w:sz="0" w:space="0" w:color="auto"/>
        <w:bottom w:val="none" w:sz="0" w:space="0" w:color="auto"/>
        <w:right w:val="none" w:sz="0" w:space="0" w:color="auto"/>
      </w:divBdr>
    </w:div>
    <w:div w:id="1736590599">
      <w:bodyDiv w:val="1"/>
      <w:marLeft w:val="0"/>
      <w:marRight w:val="0"/>
      <w:marTop w:val="0"/>
      <w:marBottom w:val="0"/>
      <w:divBdr>
        <w:top w:val="none" w:sz="0" w:space="0" w:color="auto"/>
        <w:left w:val="none" w:sz="0" w:space="0" w:color="auto"/>
        <w:bottom w:val="none" w:sz="0" w:space="0" w:color="auto"/>
        <w:right w:val="none" w:sz="0" w:space="0" w:color="auto"/>
      </w:divBdr>
    </w:div>
    <w:div w:id="1756592586">
      <w:bodyDiv w:val="1"/>
      <w:marLeft w:val="0"/>
      <w:marRight w:val="0"/>
      <w:marTop w:val="0"/>
      <w:marBottom w:val="0"/>
      <w:divBdr>
        <w:top w:val="none" w:sz="0" w:space="0" w:color="auto"/>
        <w:left w:val="none" w:sz="0" w:space="0" w:color="auto"/>
        <w:bottom w:val="none" w:sz="0" w:space="0" w:color="auto"/>
        <w:right w:val="none" w:sz="0" w:space="0" w:color="auto"/>
      </w:divBdr>
    </w:div>
    <w:div w:id="1798794941">
      <w:bodyDiv w:val="1"/>
      <w:marLeft w:val="0"/>
      <w:marRight w:val="0"/>
      <w:marTop w:val="0"/>
      <w:marBottom w:val="0"/>
      <w:divBdr>
        <w:top w:val="none" w:sz="0" w:space="0" w:color="auto"/>
        <w:left w:val="none" w:sz="0" w:space="0" w:color="auto"/>
        <w:bottom w:val="none" w:sz="0" w:space="0" w:color="auto"/>
        <w:right w:val="none" w:sz="0" w:space="0" w:color="auto"/>
      </w:divBdr>
    </w:div>
    <w:div w:id="1814373631">
      <w:bodyDiv w:val="1"/>
      <w:marLeft w:val="0"/>
      <w:marRight w:val="0"/>
      <w:marTop w:val="0"/>
      <w:marBottom w:val="0"/>
      <w:divBdr>
        <w:top w:val="none" w:sz="0" w:space="0" w:color="auto"/>
        <w:left w:val="none" w:sz="0" w:space="0" w:color="auto"/>
        <w:bottom w:val="none" w:sz="0" w:space="0" w:color="auto"/>
        <w:right w:val="none" w:sz="0" w:space="0" w:color="auto"/>
      </w:divBdr>
    </w:div>
    <w:div w:id="1854831050">
      <w:bodyDiv w:val="1"/>
      <w:marLeft w:val="0"/>
      <w:marRight w:val="0"/>
      <w:marTop w:val="0"/>
      <w:marBottom w:val="0"/>
      <w:divBdr>
        <w:top w:val="none" w:sz="0" w:space="0" w:color="auto"/>
        <w:left w:val="none" w:sz="0" w:space="0" w:color="auto"/>
        <w:bottom w:val="none" w:sz="0" w:space="0" w:color="auto"/>
        <w:right w:val="none" w:sz="0" w:space="0" w:color="auto"/>
      </w:divBdr>
    </w:div>
    <w:div w:id="1867405471">
      <w:bodyDiv w:val="1"/>
      <w:marLeft w:val="0"/>
      <w:marRight w:val="0"/>
      <w:marTop w:val="0"/>
      <w:marBottom w:val="0"/>
      <w:divBdr>
        <w:top w:val="none" w:sz="0" w:space="0" w:color="auto"/>
        <w:left w:val="none" w:sz="0" w:space="0" w:color="auto"/>
        <w:bottom w:val="none" w:sz="0" w:space="0" w:color="auto"/>
        <w:right w:val="none" w:sz="0" w:space="0" w:color="auto"/>
      </w:divBdr>
    </w:div>
    <w:div w:id="1944340184">
      <w:bodyDiv w:val="1"/>
      <w:marLeft w:val="0"/>
      <w:marRight w:val="0"/>
      <w:marTop w:val="0"/>
      <w:marBottom w:val="0"/>
      <w:divBdr>
        <w:top w:val="none" w:sz="0" w:space="0" w:color="auto"/>
        <w:left w:val="none" w:sz="0" w:space="0" w:color="auto"/>
        <w:bottom w:val="none" w:sz="0" w:space="0" w:color="auto"/>
        <w:right w:val="none" w:sz="0" w:space="0" w:color="auto"/>
      </w:divBdr>
    </w:div>
    <w:div w:id="1987590826">
      <w:bodyDiv w:val="1"/>
      <w:marLeft w:val="0"/>
      <w:marRight w:val="0"/>
      <w:marTop w:val="0"/>
      <w:marBottom w:val="0"/>
      <w:divBdr>
        <w:top w:val="none" w:sz="0" w:space="0" w:color="auto"/>
        <w:left w:val="none" w:sz="0" w:space="0" w:color="auto"/>
        <w:bottom w:val="none" w:sz="0" w:space="0" w:color="auto"/>
        <w:right w:val="none" w:sz="0" w:space="0" w:color="auto"/>
      </w:divBdr>
    </w:div>
    <w:div w:id="2012834926">
      <w:bodyDiv w:val="1"/>
      <w:marLeft w:val="0"/>
      <w:marRight w:val="0"/>
      <w:marTop w:val="0"/>
      <w:marBottom w:val="0"/>
      <w:divBdr>
        <w:top w:val="none" w:sz="0" w:space="0" w:color="auto"/>
        <w:left w:val="none" w:sz="0" w:space="0" w:color="auto"/>
        <w:bottom w:val="none" w:sz="0" w:space="0" w:color="auto"/>
        <w:right w:val="none" w:sz="0" w:space="0" w:color="auto"/>
      </w:divBdr>
    </w:div>
    <w:div w:id="21267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2954A-8483-453B-B1D5-72DF863A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An (ADK Lawyers)</dc:creator>
  <cp:lastModifiedBy>ĐINH MINH</cp:lastModifiedBy>
  <cp:revision>6</cp:revision>
  <dcterms:created xsi:type="dcterms:W3CDTF">2021-10-01T08:01:00Z</dcterms:created>
  <dcterms:modified xsi:type="dcterms:W3CDTF">2021-10-01T09:09:00Z</dcterms:modified>
</cp:coreProperties>
</file>