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7ACF5" w14:textId="60D2AE45" w:rsidR="00187801" w:rsidRDefault="00187801" w:rsidP="007F4B3D">
      <w:pPr>
        <w:jc w:val="both"/>
      </w:pPr>
    </w:p>
    <w:p w14:paraId="4D850E01" w14:textId="70441881" w:rsidR="00D126B3" w:rsidRDefault="00D126B3" w:rsidP="00D126B3">
      <w:pPr>
        <w:pStyle w:val="NormalWeb"/>
        <w:spacing w:before="0" w:beforeAutospacing="0" w:after="0" w:afterAutospacing="0"/>
        <w:jc w:val="center"/>
      </w:pPr>
      <w:r>
        <w:rPr>
          <w:b/>
          <w:bCs/>
          <w:color w:val="000000"/>
        </w:rPr>
        <w:t>RECEIVING THE CAPITAL INVESTMENT IN THE FORM OF CONVERTING LOANS INTO SHARES</w:t>
      </w:r>
    </w:p>
    <w:p w14:paraId="04771B9A" w14:textId="77777777" w:rsidR="00D126B3" w:rsidRDefault="00D126B3" w:rsidP="00D126B3"/>
    <w:p w14:paraId="5B5327D4" w14:textId="13874EED" w:rsidR="00D126B3" w:rsidRDefault="00D126B3" w:rsidP="00D126B3">
      <w:pPr>
        <w:pStyle w:val="NormalWeb"/>
        <w:spacing w:before="0" w:beforeAutospacing="0" w:after="0" w:afterAutospacing="0"/>
        <w:jc w:val="both"/>
        <w:rPr>
          <w:color w:val="000000"/>
        </w:rPr>
      </w:pPr>
      <w:r>
        <w:rPr>
          <w:color w:val="000000"/>
        </w:rPr>
        <w:t>Receiving the capital investment by converting loans into shares is very common in Vietnam. In this way, the Investor can have more time to assess whether the business operations of the Target Company are positive and whether the investment is profitable. After that, the Investor can decide to convert a part or all of their loans into shares under the ratio agreed upon by the parties or withdraw all of their loans to protect their investment. </w:t>
      </w:r>
    </w:p>
    <w:p w14:paraId="48EB9644" w14:textId="77777777" w:rsidR="00D126B3" w:rsidRDefault="00D126B3" w:rsidP="00D126B3">
      <w:pPr>
        <w:pStyle w:val="NormalWeb"/>
        <w:spacing w:before="0" w:beforeAutospacing="0" w:after="0" w:afterAutospacing="0"/>
        <w:jc w:val="both"/>
      </w:pPr>
    </w:p>
    <w:p w14:paraId="202BD938" w14:textId="77777777" w:rsidR="00D126B3" w:rsidRDefault="00D126B3" w:rsidP="00D126B3">
      <w:pPr>
        <w:pStyle w:val="NormalWeb"/>
        <w:spacing w:before="0" w:beforeAutospacing="0" w:after="0" w:afterAutospacing="0"/>
        <w:jc w:val="both"/>
      </w:pPr>
      <w:r>
        <w:rPr>
          <w:color w:val="000000"/>
        </w:rPr>
        <w:t>To conduct these transactions, the parties usually enter into Loan Agreements with terms more sophisticated than other ordinary loan ones. For instance, these Loan Agreements often require the Target Company to satisfy certain conditions before receiving the loan and ensure the Investor’s right to decide which way of the loan conversion.</w:t>
      </w:r>
    </w:p>
    <w:p w14:paraId="4D38EDB8" w14:textId="77777777" w:rsidR="00D126B3" w:rsidRDefault="00D126B3" w:rsidP="00D126B3"/>
    <w:p w14:paraId="74587E71" w14:textId="10F08313" w:rsidR="00D126B3" w:rsidRDefault="00D126B3" w:rsidP="00D126B3">
      <w:pPr>
        <w:pStyle w:val="NormalWeb"/>
        <w:spacing w:before="0" w:beforeAutospacing="0" w:after="0" w:afterAutospacing="0"/>
        <w:jc w:val="both"/>
      </w:pPr>
      <w:r>
        <w:rPr>
          <w:color w:val="000000"/>
        </w:rPr>
        <w:t>Some notes for the Target Company when receiving a converting loan into shares are as follows:</w:t>
      </w:r>
      <w:r>
        <w:br/>
      </w:r>
    </w:p>
    <w:p w14:paraId="15E03C93" w14:textId="08E78B52" w:rsidR="00D126B3" w:rsidRPr="00D126B3" w:rsidRDefault="00D126B3" w:rsidP="009E7D9B">
      <w:pPr>
        <w:pStyle w:val="NormalWeb"/>
        <w:numPr>
          <w:ilvl w:val="0"/>
          <w:numId w:val="4"/>
        </w:numPr>
        <w:spacing w:before="0" w:beforeAutospacing="0" w:after="0" w:afterAutospacing="0"/>
        <w:ind w:left="450" w:hanging="450"/>
        <w:jc w:val="both"/>
        <w:textAlignment w:val="baseline"/>
        <w:rPr>
          <w:b/>
          <w:bCs/>
          <w:color w:val="C00000"/>
          <w:sz w:val="28"/>
          <w:szCs w:val="28"/>
        </w:rPr>
      </w:pPr>
      <w:r w:rsidRPr="00D126B3">
        <w:rPr>
          <w:b/>
          <w:bCs/>
          <w:color w:val="C00000"/>
          <w:sz w:val="28"/>
          <w:szCs w:val="28"/>
        </w:rPr>
        <w:t>The loan amount and the conversion ratio</w:t>
      </w:r>
    </w:p>
    <w:p w14:paraId="35D886D5" w14:textId="77777777" w:rsidR="00D126B3" w:rsidRDefault="00D126B3" w:rsidP="00D126B3">
      <w:pPr>
        <w:pStyle w:val="NormalWeb"/>
        <w:spacing w:before="0" w:beforeAutospacing="0" w:after="0" w:afterAutospacing="0"/>
        <w:ind w:left="360"/>
        <w:jc w:val="both"/>
        <w:textAlignment w:val="baseline"/>
      </w:pPr>
    </w:p>
    <w:p w14:paraId="1CDFE19D" w14:textId="4EB95C24" w:rsidR="00D126B3" w:rsidRDefault="00D126B3" w:rsidP="00D126B3">
      <w:pPr>
        <w:pStyle w:val="NormalWeb"/>
        <w:spacing w:before="0" w:beforeAutospacing="0" w:after="0" w:afterAutospacing="0"/>
        <w:ind w:left="426"/>
        <w:jc w:val="both"/>
      </w:pPr>
      <w:r>
        <w:rPr>
          <w:color w:val="000000"/>
        </w:rPr>
        <w:t>Depending on the capital need and the business plan of the Target Company, the parties will negotiate and agree on the loan amount and disbursement schedule. In particular, the loan amount will directly affect the share ownership ratio in the Target Company if the Investor decides to convert the loan into shares. The Investor will have the right to vote in the General Meeting of Shareholders and to pass important decisions of the Target Company per the ownership ratio.</w:t>
      </w:r>
    </w:p>
    <w:p w14:paraId="53DEFC01" w14:textId="77777777" w:rsidR="00D126B3" w:rsidRDefault="00D126B3" w:rsidP="00D126B3">
      <w:pPr>
        <w:pStyle w:val="NormalWeb"/>
        <w:spacing w:before="0" w:beforeAutospacing="0" w:after="0" w:afterAutospacing="0"/>
        <w:ind w:left="426"/>
        <w:jc w:val="both"/>
      </w:pPr>
      <w:r>
        <w:rPr>
          <w:color w:val="000000"/>
        </w:rPr>
        <w:t xml:space="preserve">Investors and Target Companies can refer to the legal issues that should be of concern when it comes to convertible loans in </w:t>
      </w:r>
      <w:hyperlink r:id="rId8" w:history="1">
        <w:r>
          <w:rPr>
            <w:rStyle w:val="Hyperlink"/>
            <w:color w:val="0563C1"/>
          </w:rPr>
          <w:t>this article</w:t>
        </w:r>
      </w:hyperlink>
      <w:r>
        <w:rPr>
          <w:color w:val="000000"/>
        </w:rPr>
        <w:t>. </w:t>
      </w:r>
    </w:p>
    <w:p w14:paraId="2C76A681" w14:textId="3810A4D9" w:rsidR="00D126B3" w:rsidRDefault="00D126B3" w:rsidP="00D126B3"/>
    <w:p w14:paraId="15C23554" w14:textId="780155FD" w:rsidR="00D126B3" w:rsidRPr="00D126B3" w:rsidRDefault="00D126B3" w:rsidP="009E7D9B">
      <w:pPr>
        <w:pStyle w:val="NormalWeb"/>
        <w:numPr>
          <w:ilvl w:val="0"/>
          <w:numId w:val="4"/>
        </w:numPr>
        <w:spacing w:before="0" w:beforeAutospacing="0" w:after="0" w:afterAutospacing="0"/>
        <w:ind w:left="450" w:hanging="450"/>
        <w:jc w:val="both"/>
        <w:textAlignment w:val="baseline"/>
      </w:pPr>
      <w:r w:rsidRPr="00D126B3">
        <w:rPr>
          <w:b/>
          <w:bCs/>
          <w:color w:val="C00000"/>
          <w:sz w:val="28"/>
          <w:szCs w:val="28"/>
        </w:rPr>
        <w:t>C</w:t>
      </w:r>
      <w:r w:rsidRPr="00D126B3">
        <w:rPr>
          <w:b/>
          <w:bCs/>
          <w:color w:val="C00000"/>
          <w:sz w:val="28"/>
          <w:szCs w:val="28"/>
        </w:rPr>
        <w:t>ondition Precedents for receiving loans</w:t>
      </w:r>
    </w:p>
    <w:p w14:paraId="664CBFDF" w14:textId="77777777" w:rsidR="00D126B3" w:rsidRDefault="00D126B3" w:rsidP="00D126B3">
      <w:pPr>
        <w:pStyle w:val="NormalWeb"/>
        <w:spacing w:before="0" w:beforeAutospacing="0" w:after="0" w:afterAutospacing="0"/>
        <w:ind w:left="450"/>
        <w:jc w:val="both"/>
        <w:textAlignment w:val="baseline"/>
      </w:pPr>
    </w:p>
    <w:p w14:paraId="368CFBAB" w14:textId="08857E46" w:rsidR="00D126B3" w:rsidRDefault="00D126B3" w:rsidP="00D126B3">
      <w:pPr>
        <w:pStyle w:val="NormalWeb"/>
        <w:spacing w:before="0" w:beforeAutospacing="0" w:after="0" w:afterAutospacing="0"/>
        <w:ind w:left="426"/>
        <w:jc w:val="both"/>
      </w:pPr>
      <w:r>
        <w:rPr>
          <w:color w:val="000000"/>
        </w:rPr>
        <w:t>Once the result of due diligence is available, the Investor can decide which conditions must be met by the Target Company before receiving a part or all of the loan. These conditions are commonly referred to as the Condition Precedents. Some notable conditions are as follows: </w:t>
      </w:r>
      <w:r>
        <w:br/>
      </w:r>
    </w:p>
    <w:p w14:paraId="599FAD4E" w14:textId="77777777" w:rsidR="00D126B3" w:rsidRDefault="00D126B3" w:rsidP="009E7D9B">
      <w:pPr>
        <w:pStyle w:val="NormalWeb"/>
        <w:numPr>
          <w:ilvl w:val="0"/>
          <w:numId w:val="1"/>
        </w:numPr>
        <w:spacing w:before="0" w:beforeAutospacing="0" w:after="0" w:afterAutospacing="0"/>
        <w:ind w:left="1146"/>
        <w:jc w:val="both"/>
        <w:textAlignment w:val="baseline"/>
        <w:rPr>
          <w:color w:val="000000"/>
        </w:rPr>
      </w:pPr>
      <w:r>
        <w:rPr>
          <w:color w:val="000000"/>
        </w:rPr>
        <w:t>Sufficiently provide the Minutes of meeting and Decisions of the General Meeting of Shareholders on receiving convertible loans into shares;</w:t>
      </w:r>
    </w:p>
    <w:p w14:paraId="5DC86F89" w14:textId="77777777" w:rsidR="00D126B3" w:rsidRDefault="00D126B3" w:rsidP="009E7D9B">
      <w:pPr>
        <w:pStyle w:val="NormalWeb"/>
        <w:numPr>
          <w:ilvl w:val="0"/>
          <w:numId w:val="1"/>
        </w:numPr>
        <w:spacing w:before="0" w:beforeAutospacing="0" w:after="0" w:afterAutospacing="0"/>
        <w:ind w:left="1146"/>
        <w:jc w:val="both"/>
        <w:textAlignment w:val="baseline"/>
        <w:rPr>
          <w:color w:val="000000"/>
        </w:rPr>
      </w:pPr>
      <w:r>
        <w:rPr>
          <w:color w:val="000000"/>
        </w:rPr>
        <w:t>Sufficiently provide the Minutes of meeting and Decisions of the General Meeting of Shareholders on the appointment of one or several persons by the Investor as members of the Board of Management or Inspectors;</w:t>
      </w:r>
    </w:p>
    <w:p w14:paraId="6D6BD1AE" w14:textId="77777777" w:rsidR="00D126B3" w:rsidRDefault="00D126B3" w:rsidP="009E7D9B">
      <w:pPr>
        <w:pStyle w:val="NormalWeb"/>
        <w:numPr>
          <w:ilvl w:val="0"/>
          <w:numId w:val="1"/>
        </w:numPr>
        <w:spacing w:before="0" w:beforeAutospacing="0" w:after="0" w:afterAutospacing="0"/>
        <w:ind w:left="1146"/>
        <w:jc w:val="both"/>
        <w:textAlignment w:val="baseline"/>
        <w:rPr>
          <w:color w:val="000000"/>
        </w:rPr>
      </w:pPr>
      <w:r>
        <w:rPr>
          <w:color w:val="000000"/>
        </w:rPr>
        <w:t>The Target Company must complete its tax finalization from its establishment period to the most recent month;</w:t>
      </w:r>
    </w:p>
    <w:p w14:paraId="5C57E42A" w14:textId="77777777" w:rsidR="00D126B3" w:rsidRDefault="00D126B3" w:rsidP="009E7D9B">
      <w:pPr>
        <w:pStyle w:val="NormalWeb"/>
        <w:numPr>
          <w:ilvl w:val="0"/>
          <w:numId w:val="1"/>
        </w:numPr>
        <w:spacing w:before="0" w:beforeAutospacing="0" w:after="0" w:afterAutospacing="0"/>
        <w:ind w:left="1146"/>
        <w:jc w:val="both"/>
        <w:textAlignment w:val="baseline"/>
        <w:rPr>
          <w:color w:val="000000"/>
        </w:rPr>
      </w:pPr>
      <w:r>
        <w:rPr>
          <w:color w:val="000000"/>
        </w:rPr>
        <w:t>The Target Company must apply for permits and certificates to legally operate as required by law;</w:t>
      </w:r>
    </w:p>
    <w:p w14:paraId="4AA4F110" w14:textId="426843B0" w:rsidR="00D126B3" w:rsidRPr="00D126B3" w:rsidRDefault="00D126B3" w:rsidP="009E7D9B">
      <w:pPr>
        <w:pStyle w:val="NormalWeb"/>
        <w:numPr>
          <w:ilvl w:val="0"/>
          <w:numId w:val="1"/>
        </w:numPr>
        <w:spacing w:before="0" w:beforeAutospacing="0" w:after="0" w:afterAutospacing="0"/>
        <w:ind w:left="1146"/>
        <w:jc w:val="both"/>
        <w:textAlignment w:val="baseline"/>
      </w:pPr>
      <w:r w:rsidRPr="00D126B3">
        <w:rPr>
          <w:color w:val="000000"/>
        </w:rPr>
        <w:t>The existing Shareholders undertake not to transfer their shares to other investors without the Investor's approval, etc.</w:t>
      </w:r>
    </w:p>
    <w:p w14:paraId="34F9853D" w14:textId="77777777" w:rsidR="00D126B3" w:rsidRDefault="00D126B3" w:rsidP="00D126B3">
      <w:pPr>
        <w:pStyle w:val="NormalWeb"/>
        <w:spacing w:before="0" w:beforeAutospacing="0" w:after="0" w:afterAutospacing="0"/>
        <w:ind w:left="1146"/>
        <w:jc w:val="both"/>
        <w:textAlignment w:val="baseline"/>
      </w:pPr>
    </w:p>
    <w:p w14:paraId="6252C187" w14:textId="244F475E" w:rsidR="00D126B3" w:rsidRPr="00D126B3" w:rsidRDefault="00D126B3" w:rsidP="009E7D9B">
      <w:pPr>
        <w:pStyle w:val="NormalWeb"/>
        <w:numPr>
          <w:ilvl w:val="0"/>
          <w:numId w:val="4"/>
        </w:numPr>
        <w:spacing w:before="0" w:beforeAutospacing="0" w:after="0" w:afterAutospacing="0"/>
        <w:jc w:val="both"/>
        <w:textAlignment w:val="baseline"/>
        <w:rPr>
          <w:color w:val="C00000"/>
          <w:sz w:val="28"/>
          <w:szCs w:val="28"/>
        </w:rPr>
      </w:pPr>
      <w:r w:rsidRPr="00D126B3">
        <w:rPr>
          <w:b/>
          <w:bCs/>
          <w:color w:val="C00000"/>
          <w:sz w:val="28"/>
          <w:szCs w:val="28"/>
        </w:rPr>
        <w:t>The decision to convert or repay the loan</w:t>
      </w:r>
    </w:p>
    <w:p w14:paraId="1071A2CA" w14:textId="77777777" w:rsidR="00D126B3" w:rsidRDefault="00D126B3" w:rsidP="00D126B3">
      <w:pPr>
        <w:pStyle w:val="NormalWeb"/>
        <w:spacing w:before="0" w:beforeAutospacing="0" w:after="0" w:afterAutospacing="0"/>
        <w:ind w:left="720"/>
        <w:jc w:val="both"/>
        <w:textAlignment w:val="baseline"/>
      </w:pPr>
    </w:p>
    <w:p w14:paraId="2F10BE2E" w14:textId="5CC8C05E" w:rsidR="00D126B3" w:rsidRDefault="00D126B3" w:rsidP="00D126B3">
      <w:pPr>
        <w:pStyle w:val="NormalWeb"/>
        <w:spacing w:before="0" w:beforeAutospacing="0" w:after="0" w:afterAutospacing="0"/>
        <w:ind w:left="426"/>
        <w:jc w:val="both"/>
        <w:rPr>
          <w:color w:val="000000"/>
        </w:rPr>
      </w:pPr>
      <w:r>
        <w:rPr>
          <w:color w:val="000000"/>
        </w:rPr>
        <w:t>During the loan term, if the Investor realizes the growth potential of the Target Company and its benefits to the Investor’s investment, the Investor will decide to convert a part or all of the loan into shares and own a certain percentage of the Target Company. Depending on the conversion method and the Investor's nationality, the Target Company will have to carry out certain administrative procedures in accordance with the law.</w:t>
      </w:r>
    </w:p>
    <w:p w14:paraId="1C88C9FD" w14:textId="77777777" w:rsidR="00D126B3" w:rsidRDefault="00D126B3" w:rsidP="00D126B3">
      <w:pPr>
        <w:pStyle w:val="NormalWeb"/>
        <w:spacing w:before="0" w:beforeAutospacing="0" w:after="0" w:afterAutospacing="0"/>
        <w:ind w:left="426"/>
        <w:jc w:val="both"/>
      </w:pPr>
    </w:p>
    <w:p w14:paraId="71E76727" w14:textId="1CDEB44B" w:rsidR="00D126B3" w:rsidRDefault="00D126B3" w:rsidP="00D126B3">
      <w:pPr>
        <w:pStyle w:val="NormalWeb"/>
        <w:spacing w:before="0" w:beforeAutospacing="0" w:after="0" w:afterAutospacing="0"/>
        <w:ind w:left="426"/>
        <w:jc w:val="both"/>
        <w:rPr>
          <w:color w:val="000000"/>
        </w:rPr>
      </w:pPr>
      <w:r>
        <w:rPr>
          <w:color w:val="000000"/>
        </w:rPr>
        <w:t xml:space="preserve">At the expiry of the loan term, subject to the Loan Agreement, the Investor has the right to decide not to convert the loan into shares and request the Target Company to repay the entire loan along with a pre-determined interest rate (if any). There are many reasons for the Investor to suspend their ongoing investment, such as inefficient business operations leading to low return; key personnel failing to comply with the commitment of working hours; the Target Company failing to fulfill important commitments, </w:t>
      </w:r>
      <w:proofErr w:type="spellStart"/>
      <w:r>
        <w:rPr>
          <w:color w:val="000000"/>
        </w:rPr>
        <w:t>etc</w:t>
      </w:r>
      <w:proofErr w:type="spellEnd"/>
    </w:p>
    <w:p w14:paraId="26B75EC4" w14:textId="77777777" w:rsidR="00D126B3" w:rsidRDefault="00D126B3" w:rsidP="00D126B3">
      <w:pPr>
        <w:pStyle w:val="NormalWeb"/>
        <w:spacing w:before="0" w:beforeAutospacing="0" w:after="0" w:afterAutospacing="0"/>
        <w:ind w:left="426"/>
        <w:jc w:val="both"/>
      </w:pPr>
    </w:p>
    <w:p w14:paraId="57299A06" w14:textId="11553079" w:rsidR="00D126B3" w:rsidRPr="00D126B3" w:rsidRDefault="00D126B3" w:rsidP="009E7D9B">
      <w:pPr>
        <w:pStyle w:val="NormalWeb"/>
        <w:numPr>
          <w:ilvl w:val="0"/>
          <w:numId w:val="4"/>
        </w:numPr>
        <w:spacing w:before="0" w:beforeAutospacing="0" w:after="0" w:afterAutospacing="0"/>
        <w:jc w:val="both"/>
        <w:textAlignment w:val="baseline"/>
        <w:rPr>
          <w:color w:val="C00000"/>
          <w:sz w:val="28"/>
          <w:szCs w:val="28"/>
        </w:rPr>
      </w:pPr>
      <w:r w:rsidRPr="00D126B3">
        <w:rPr>
          <w:b/>
          <w:bCs/>
          <w:color w:val="C00000"/>
          <w:sz w:val="28"/>
          <w:szCs w:val="28"/>
        </w:rPr>
        <w:t>Binding the involvement of key personnel</w:t>
      </w:r>
    </w:p>
    <w:p w14:paraId="0C31430A" w14:textId="77777777" w:rsidR="00D126B3" w:rsidRDefault="00D126B3" w:rsidP="00D126B3">
      <w:pPr>
        <w:pStyle w:val="NormalWeb"/>
        <w:spacing w:before="0" w:beforeAutospacing="0" w:after="0" w:afterAutospacing="0"/>
        <w:ind w:left="720"/>
        <w:jc w:val="both"/>
        <w:textAlignment w:val="baseline"/>
      </w:pPr>
    </w:p>
    <w:p w14:paraId="05E55B9F" w14:textId="42E7A42E" w:rsidR="00D126B3" w:rsidRDefault="00D126B3" w:rsidP="00D126B3">
      <w:pPr>
        <w:pStyle w:val="NormalWeb"/>
        <w:spacing w:before="0" w:beforeAutospacing="0" w:after="0" w:afterAutospacing="0"/>
        <w:ind w:left="426"/>
        <w:jc w:val="both"/>
        <w:rPr>
          <w:color w:val="000000"/>
        </w:rPr>
      </w:pPr>
      <w:r>
        <w:rPr>
          <w:color w:val="000000"/>
        </w:rPr>
        <w:t>The Company’s operation effectiveness often depends on some key personnel, such as the General Director, the Technical Director, etc. They are usually also the existing shareholders of the Target Company. In order to maintain the growth potential of the Target Company, the Investor usually requires these key personnel to work at the Target Company for 3-5 years after receiving the loan, and if they are also the existing shareholders of the Company, they may also be prohibited from transferring their shares for 3-5 years as well.</w:t>
      </w:r>
    </w:p>
    <w:p w14:paraId="4B9245BD" w14:textId="77777777" w:rsidR="00D126B3" w:rsidRDefault="00D126B3" w:rsidP="00D126B3">
      <w:pPr>
        <w:pStyle w:val="NormalWeb"/>
        <w:spacing w:before="0" w:beforeAutospacing="0" w:after="0" w:afterAutospacing="0"/>
        <w:ind w:left="426"/>
        <w:jc w:val="both"/>
      </w:pPr>
    </w:p>
    <w:p w14:paraId="3E382D5E" w14:textId="0304E892" w:rsidR="00D126B3" w:rsidRPr="00D126B3" w:rsidRDefault="00D126B3" w:rsidP="009E7D9B">
      <w:pPr>
        <w:pStyle w:val="NormalWeb"/>
        <w:numPr>
          <w:ilvl w:val="0"/>
          <w:numId w:val="4"/>
        </w:numPr>
        <w:spacing w:before="0" w:beforeAutospacing="0" w:after="0" w:afterAutospacing="0"/>
        <w:jc w:val="both"/>
        <w:textAlignment w:val="baseline"/>
        <w:rPr>
          <w:color w:val="C00000"/>
          <w:sz w:val="28"/>
          <w:szCs w:val="28"/>
        </w:rPr>
      </w:pPr>
      <w:r w:rsidRPr="00D126B3">
        <w:rPr>
          <w:b/>
          <w:bCs/>
          <w:color w:val="C00000"/>
          <w:sz w:val="28"/>
          <w:szCs w:val="28"/>
        </w:rPr>
        <w:t>Foreign loans (if any)</w:t>
      </w:r>
    </w:p>
    <w:p w14:paraId="6E5AD9BD" w14:textId="77777777" w:rsidR="00D126B3" w:rsidRDefault="00D126B3" w:rsidP="00D126B3">
      <w:pPr>
        <w:pStyle w:val="NormalWeb"/>
        <w:spacing w:before="0" w:beforeAutospacing="0" w:after="0" w:afterAutospacing="0"/>
        <w:ind w:left="720"/>
        <w:jc w:val="both"/>
        <w:textAlignment w:val="baseline"/>
      </w:pPr>
    </w:p>
    <w:p w14:paraId="57967CEE" w14:textId="4246149B" w:rsidR="00D126B3" w:rsidRDefault="00D126B3" w:rsidP="00D126B3">
      <w:pPr>
        <w:pStyle w:val="NormalWeb"/>
        <w:spacing w:before="0" w:beforeAutospacing="0" w:after="0" w:afterAutospacing="0"/>
        <w:ind w:left="426"/>
        <w:jc w:val="both"/>
        <w:rPr>
          <w:color w:val="000000"/>
        </w:rPr>
      </w:pPr>
      <w:r>
        <w:rPr>
          <w:color w:val="000000"/>
        </w:rPr>
        <w:t>In case the Investor is a foreign individual or organization, the Target Company needs to pay attention to the following points:</w:t>
      </w:r>
    </w:p>
    <w:p w14:paraId="15916124" w14:textId="77777777" w:rsidR="00D126B3" w:rsidRDefault="00D126B3" w:rsidP="00D126B3">
      <w:pPr>
        <w:pStyle w:val="NormalWeb"/>
        <w:spacing w:before="0" w:beforeAutospacing="0" w:after="0" w:afterAutospacing="0"/>
        <w:ind w:left="426"/>
        <w:jc w:val="both"/>
      </w:pPr>
    </w:p>
    <w:p w14:paraId="1242E8CD" w14:textId="448E1633" w:rsidR="00D126B3" w:rsidRDefault="00D126B3" w:rsidP="009E7D9B">
      <w:pPr>
        <w:pStyle w:val="NormalWeb"/>
        <w:numPr>
          <w:ilvl w:val="0"/>
          <w:numId w:val="2"/>
        </w:numPr>
        <w:spacing w:before="0" w:beforeAutospacing="0" w:after="0" w:afterAutospacing="0"/>
        <w:ind w:left="1146"/>
        <w:jc w:val="both"/>
        <w:textAlignment w:val="baseline"/>
      </w:pPr>
      <w:r w:rsidRPr="00D126B3">
        <w:rPr>
          <w:color w:val="000000"/>
        </w:rPr>
        <w:t>Register the loan at the State Bank if the term load is from 12 months to more (i.e., the medium and long-term loans). In addition, The Target Company must periodically report to the State Bank of its foreign loans, including short, medium and long-term loans.</w:t>
      </w:r>
      <w:r>
        <w:br/>
      </w:r>
    </w:p>
    <w:p w14:paraId="43411991" w14:textId="19CFEBE6" w:rsidR="00D126B3" w:rsidRPr="00D126B3" w:rsidRDefault="00D126B3" w:rsidP="009E7D9B">
      <w:pPr>
        <w:pStyle w:val="NormalWeb"/>
        <w:numPr>
          <w:ilvl w:val="0"/>
          <w:numId w:val="3"/>
        </w:numPr>
        <w:spacing w:before="0" w:beforeAutospacing="0" w:after="0" w:afterAutospacing="0"/>
        <w:ind w:left="1146"/>
        <w:jc w:val="both"/>
        <w:textAlignment w:val="baseline"/>
      </w:pPr>
      <w:r w:rsidRPr="00D126B3">
        <w:rPr>
          <w:color w:val="000000"/>
        </w:rPr>
        <w:t>The Target Company shall receive the loan into a foreign currency loan bank account or a direct investment capital bank account (if it is a foreign-invested company that meets the statutory requirements).</w:t>
      </w:r>
    </w:p>
    <w:p w14:paraId="5899A6BA" w14:textId="77777777" w:rsidR="00D126B3" w:rsidRDefault="00D126B3" w:rsidP="00D126B3">
      <w:pPr>
        <w:pStyle w:val="NormalWeb"/>
        <w:spacing w:before="0" w:beforeAutospacing="0" w:after="0" w:afterAutospacing="0"/>
        <w:ind w:left="1146"/>
        <w:jc w:val="both"/>
        <w:textAlignment w:val="baseline"/>
      </w:pPr>
    </w:p>
    <w:p w14:paraId="337E9AAE" w14:textId="77777777" w:rsidR="00D126B3" w:rsidRDefault="00D126B3" w:rsidP="00D126B3">
      <w:pPr>
        <w:pStyle w:val="NormalWeb"/>
        <w:spacing w:before="0" w:beforeAutospacing="0" w:after="0" w:afterAutospacing="0"/>
        <w:jc w:val="both"/>
      </w:pPr>
      <w:r>
        <w:rPr>
          <w:color w:val="000000"/>
        </w:rPr>
        <w:t>The above are some legal issues related to investment in the form of converting loans into shares. However, the nature of the transaction can vary depending on the Investor's request and the parties' agreement, leading to the above statements being inappropriate. Therefore, in the course of negotiating an investment agreement and conducting the conversion, the Investor and the Target Company should consult with lawyers expertizing in this field.</w:t>
      </w:r>
    </w:p>
    <w:p w14:paraId="0D7479DE" w14:textId="77777777" w:rsidR="00D126B3" w:rsidRPr="00084150" w:rsidRDefault="00D126B3" w:rsidP="007F4B3D">
      <w:pPr>
        <w:jc w:val="both"/>
      </w:pPr>
    </w:p>
    <w:sectPr w:rsidR="00D126B3" w:rsidRPr="00084150" w:rsidSect="0071255F">
      <w:headerReference w:type="even" r:id="rId9"/>
      <w:headerReference w:type="default" r:id="rId10"/>
      <w:footerReference w:type="even" r:id="rId11"/>
      <w:footerReference w:type="default" r:id="rId12"/>
      <w:headerReference w:type="first" r:id="rId13"/>
      <w:footerReference w:type="first" r:id="rId14"/>
      <w:pgSz w:w="11909" w:h="16834" w:code="9"/>
      <w:pgMar w:top="1424" w:right="971" w:bottom="1756" w:left="1440" w:header="284" w:footer="1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15827" w14:textId="77777777" w:rsidR="009E7D9B" w:rsidRDefault="009E7D9B" w:rsidP="006566EC">
      <w:pPr>
        <w:spacing w:after="0" w:line="240" w:lineRule="auto"/>
      </w:pPr>
      <w:r>
        <w:separator/>
      </w:r>
    </w:p>
  </w:endnote>
  <w:endnote w:type="continuationSeparator" w:id="0">
    <w:p w14:paraId="5E347C00" w14:textId="77777777" w:rsidR="009E7D9B" w:rsidRDefault="009E7D9B" w:rsidP="0065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2489" w14:textId="77777777" w:rsidR="005652A1" w:rsidRDefault="00565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Ind w:w="-405" w:type="dxa"/>
      <w:tblLook w:val="04A0" w:firstRow="1" w:lastRow="0" w:firstColumn="1" w:lastColumn="0" w:noHBand="0" w:noVBand="1"/>
    </w:tblPr>
    <w:tblGrid>
      <w:gridCol w:w="8505"/>
    </w:tblGrid>
    <w:tr w:rsidR="00D82E0D" w:rsidRPr="009A56E1" w14:paraId="2C9D6CDE" w14:textId="77777777" w:rsidTr="009A56E1">
      <w:trPr>
        <w:trHeight w:val="630"/>
      </w:trPr>
      <w:tc>
        <w:tcPr>
          <w:tcW w:w="8505" w:type="dxa"/>
        </w:tcPr>
        <w:p w14:paraId="219FCB44" w14:textId="488FF75D" w:rsidR="00D82E0D" w:rsidRPr="009A56E1" w:rsidRDefault="00D82E0D" w:rsidP="009A56E1">
          <w:pPr>
            <w:pStyle w:val="Footer"/>
            <w:ind w:right="183"/>
            <w:rPr>
              <w:rFonts w:ascii="Arial" w:hAnsi="Arial" w:cs="Arial"/>
              <w:sz w:val="18"/>
              <w:szCs w:val="18"/>
            </w:rPr>
          </w:pPr>
          <w:r w:rsidRPr="009A56E1">
            <w:rPr>
              <w:rFonts w:ascii="Arial" w:hAnsi="Arial" w:cs="Arial"/>
              <w:b/>
              <w:bCs/>
              <w:color w:val="C00000"/>
              <w:sz w:val="18"/>
              <w:szCs w:val="18"/>
            </w:rPr>
            <w:t>APOLAT LEGAL</w:t>
          </w:r>
          <w:r w:rsidRPr="009A56E1">
            <w:rPr>
              <w:rFonts w:ascii="Arial" w:hAnsi="Arial" w:cs="Arial"/>
              <w:sz w:val="18"/>
              <w:szCs w:val="18"/>
            </w:rPr>
            <w:t xml:space="preserve"> </w:t>
          </w:r>
          <w:r w:rsidR="009A56E1">
            <w:rPr>
              <w:rFonts w:ascii="Arial" w:hAnsi="Arial" w:cs="Arial"/>
              <w:sz w:val="18"/>
              <w:szCs w:val="18"/>
            </w:rPr>
            <w:t xml:space="preserve">        </w:t>
          </w:r>
          <w:r w:rsidR="009A56E1" w:rsidRPr="009A56E1">
            <w:rPr>
              <w:rFonts w:ascii="Arial" w:hAnsi="Arial" w:cs="Arial"/>
              <w:b/>
              <w:bCs/>
              <w:color w:val="C00000"/>
              <w:sz w:val="18"/>
              <w:szCs w:val="18"/>
            </w:rPr>
            <w:t>T</w:t>
          </w:r>
          <w:r w:rsidR="009A56E1" w:rsidRPr="009A56E1">
            <w:rPr>
              <w:rFonts w:ascii="Arial" w:hAnsi="Arial" w:cs="Arial"/>
              <w:sz w:val="18"/>
              <w:szCs w:val="18"/>
            </w:rPr>
            <w:t xml:space="preserve">  (+84-28) 3899 8683     </w:t>
          </w:r>
          <w:r w:rsidR="009A56E1" w:rsidRPr="009A56E1">
            <w:rPr>
              <w:rFonts w:ascii="Arial" w:hAnsi="Arial" w:cs="Arial"/>
              <w:b/>
              <w:bCs/>
              <w:color w:val="C00000"/>
              <w:sz w:val="18"/>
              <w:szCs w:val="18"/>
            </w:rPr>
            <w:t>E</w:t>
          </w:r>
          <w:r w:rsidR="009A56E1" w:rsidRPr="009A56E1">
            <w:rPr>
              <w:rFonts w:ascii="Arial" w:hAnsi="Arial" w:cs="Arial"/>
              <w:sz w:val="18"/>
              <w:szCs w:val="18"/>
            </w:rPr>
            <w:t xml:space="preserve">  </w:t>
          </w:r>
          <w:hyperlink r:id="rId1" w:history="1">
            <w:r w:rsidR="009A56E1" w:rsidRPr="009A56E1">
              <w:rPr>
                <w:rStyle w:val="Hyperlink"/>
                <w:rFonts w:ascii="Arial" w:hAnsi="Arial" w:cs="Arial"/>
                <w:color w:val="auto"/>
                <w:sz w:val="18"/>
                <w:szCs w:val="18"/>
                <w:u w:val="none"/>
              </w:rPr>
              <w:t>info@apolatlegal.com</w:t>
            </w:r>
          </w:hyperlink>
          <w:r w:rsidR="009A56E1" w:rsidRPr="009A56E1">
            <w:rPr>
              <w:rFonts w:ascii="Arial" w:hAnsi="Arial" w:cs="Arial"/>
              <w:sz w:val="18"/>
              <w:szCs w:val="18"/>
            </w:rPr>
            <w:t xml:space="preserve">     </w:t>
          </w:r>
          <w:r w:rsidR="009A56E1" w:rsidRPr="009A56E1">
            <w:rPr>
              <w:rFonts w:ascii="Arial" w:hAnsi="Arial" w:cs="Arial"/>
              <w:b/>
              <w:bCs/>
              <w:color w:val="C00000"/>
              <w:sz w:val="18"/>
              <w:szCs w:val="18"/>
            </w:rPr>
            <w:t>W</w:t>
          </w:r>
          <w:r w:rsidR="009A56E1">
            <w:rPr>
              <w:rFonts w:ascii="Arial" w:hAnsi="Arial" w:cs="Arial"/>
              <w:sz w:val="18"/>
              <w:szCs w:val="18"/>
            </w:rPr>
            <w:t xml:space="preserve"> </w:t>
          </w:r>
          <w:r w:rsidR="009A56E1" w:rsidRPr="009A56E1">
            <w:rPr>
              <w:rFonts w:ascii="Arial" w:hAnsi="Arial" w:cs="Arial"/>
              <w:sz w:val="18"/>
              <w:szCs w:val="18"/>
            </w:rPr>
            <w:t xml:space="preserve"> www.apolatlegal.com</w:t>
          </w:r>
        </w:p>
      </w:tc>
    </w:tr>
  </w:tbl>
  <w:p w14:paraId="2E66498E" w14:textId="5BA63474" w:rsidR="00062A36" w:rsidRPr="00D82E0D" w:rsidRDefault="009A56E1" w:rsidP="0071255F">
    <w:pPr>
      <w:spacing w:after="0" w:line="240" w:lineRule="auto"/>
      <w:ind w:right="-22"/>
      <w:jc w:val="right"/>
      <w:rPr>
        <w:rFonts w:ascii="Arial" w:hAnsi="Arial" w:cs="Arial"/>
        <w:sz w:val="18"/>
        <w:szCs w:val="20"/>
      </w:rPr>
    </w:pPr>
    <w:r w:rsidRPr="00D82E0D">
      <w:rPr>
        <w:rFonts w:ascii="Times New Roman" w:hAnsi="Times New Roman"/>
        <w:b/>
        <w:noProof/>
        <w:sz w:val="28"/>
        <w:szCs w:val="28"/>
      </w:rPr>
      <w:drawing>
        <wp:anchor distT="0" distB="0" distL="114300" distR="114300" simplePos="0" relativeHeight="251666944" behindDoc="0" locked="0" layoutInCell="1" allowOverlap="1" wp14:anchorId="20D070B2" wp14:editId="36A41C02">
          <wp:simplePos x="0" y="0"/>
          <wp:positionH relativeFrom="margin">
            <wp:posOffset>5443855</wp:posOffset>
          </wp:positionH>
          <wp:positionV relativeFrom="margin">
            <wp:posOffset>8806180</wp:posOffset>
          </wp:positionV>
          <wp:extent cx="428625" cy="445135"/>
          <wp:effectExtent l="0" t="0" r="9525" b="0"/>
          <wp:wrapSquare wrapText="bothSides"/>
          <wp:docPr id="15" name="Hình ảnh 4" descr="Ảnh có chứa văn bản, ký hiệu, đồ họa véc-tơ&#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py FAVICON.png"/>
                  <pic:cNvPicPr/>
                </pic:nvPicPr>
                <pic:blipFill>
                  <a:blip r:embed="rId2">
                    <a:extLst>
                      <a:ext uri="{28A0092B-C50C-407E-A947-70E740481C1C}">
                        <a14:useLocalDpi xmlns:a14="http://schemas.microsoft.com/office/drawing/2010/main" val="0"/>
                      </a:ext>
                    </a:extLst>
                  </a:blip>
                  <a:stretch>
                    <a:fillRect/>
                  </a:stretch>
                </pic:blipFill>
                <pic:spPr>
                  <a:xfrm>
                    <a:off x="0" y="0"/>
                    <a:ext cx="428625" cy="445135"/>
                  </a:xfrm>
                  <a:prstGeom prst="rect">
                    <a:avLst/>
                  </a:prstGeom>
                </pic:spPr>
              </pic:pic>
            </a:graphicData>
          </a:graphic>
          <wp14:sizeRelH relativeFrom="margin">
            <wp14:pctWidth>0</wp14:pctWidth>
          </wp14:sizeRelH>
          <wp14:sizeRelV relativeFrom="margin">
            <wp14:pctHeight>0</wp14:pctHeight>
          </wp14:sizeRelV>
        </wp:anchor>
      </w:drawing>
    </w:r>
    <w:r w:rsidRPr="00D82E0D">
      <w:rPr>
        <w:rFonts w:ascii="Arial" w:hAnsi="Arial" w:cs="Arial"/>
        <w:noProof/>
        <w:sz w:val="16"/>
        <w:szCs w:val="16"/>
      </w:rPr>
      <mc:AlternateContent>
        <mc:Choice Requires="wps">
          <w:drawing>
            <wp:anchor distT="0" distB="0" distL="114300" distR="114300" simplePos="0" relativeHeight="251662336" behindDoc="0" locked="0" layoutInCell="1" allowOverlap="1" wp14:anchorId="44842472" wp14:editId="48B1F012">
              <wp:simplePos x="0" y="0"/>
              <wp:positionH relativeFrom="column">
                <wp:posOffset>-179705</wp:posOffset>
              </wp:positionH>
              <wp:positionV relativeFrom="paragraph">
                <wp:posOffset>-652780</wp:posOffset>
              </wp:positionV>
              <wp:extent cx="6117590" cy="635"/>
              <wp:effectExtent l="0" t="0" r="35560" b="374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75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1B2D3" id="_x0000_t32" coordsize="21600,21600" o:spt="32" o:oned="t" path="m,l21600,21600e" filled="f">
              <v:path arrowok="t" fillok="f" o:connecttype="none"/>
              <o:lock v:ext="edit" shapetype="t"/>
            </v:shapetype>
            <v:shape id="AutoShape 5" o:spid="_x0000_s1026" type="#_x0000_t32" style="position:absolute;margin-left:-14.15pt;margin-top:-51.4pt;width:481.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INzwEAAH8DAAAOAAAAZHJzL2Uyb0RvYy54bWysU01v2zAMvQ/YfxB0X2xnSLYacYohXXfp&#10;tgBtfwAjybYwWRQkJXb+/Sjlo916G+aDIIp8j+QjvbqdBsMOygeNtuHVrORMWYFS267hz0/3Hz5z&#10;FiJYCQatavhRBX67fv9uNbpazbFHI5VnRGJDPbqG9zG6uiiC6NUAYYZOWXK26AeIZPqukB5GYh9M&#10;MS/LZTGil86jUCHQ693JydeZv22ViD/bNqjITMOptphPn89dOov1CurOg+u1OJcB/1DFANpS0ivV&#10;HURge6/fUA1aeAzYxpnAocC21ULlHqibqvyrm8cenMq9kDjBXWUK/49W/DhsPdOy4XPOLAw0oi/7&#10;iDkzWyR5RhdqitrYrU8Nisk+ugcUvwKzuOnBdioHPx0dYauEKP6AJCM4SrIbv6OkGCD+rNXU+iFR&#10;kgpsyiM5XkeipsgEPS6r6tPihiYnyLf8mCsqoL5AnQ/xm8KBpUvDQ/Sguz5u0FoaPfoqJ4LDQ4ip&#10;MKgvgJTX4r02Jm+AsWyk6m/KRZkRAY2WyZvigu92G+PZAdIS5S+3SZ7XYR73Vma2XoH8er5H0OZ0&#10;p+zGntVJgpyk3aE8bv1FNZpyLvO8kWmNXtsZ/fLfrH8DAAD//wMAUEsDBBQABgAIAAAAIQDoJiuf&#10;3gAAAA0BAAAPAAAAZHJzL2Rvd25yZXYueG1sTI9BT4QwEIXvJv6HZky8mN0CG1dEysaYePIgrv6A&#10;Qkcg0imhZan/3jEe3NvMvJc33ysP0Y7ihLMfHClItwkIpNaZgToFH+/PmxyED5qMHh2hgm/0cKgu&#10;L0pdGLfSG56OoRMcQr7QCvoQpkJK3/Zotd+6CYm1TzdbHXidO2lmvXK4HWWWJHtp9UD8odcTPvXY&#10;fh0XqyC+7inEOo/NSsuLz2/qqG2t1PVVfHwAETCGfzP84jM6VMzUuIWMF6OCTZbv2MpDmmRcgi33&#10;u9sURPN3ugNZlfK8RfUDAAD//wMAUEsBAi0AFAAGAAgAAAAhALaDOJL+AAAA4QEAABMAAAAAAAAA&#10;AAAAAAAAAAAAAFtDb250ZW50X1R5cGVzXS54bWxQSwECLQAUAAYACAAAACEAOP0h/9YAAACUAQAA&#10;CwAAAAAAAAAAAAAAAAAvAQAAX3JlbHMvLnJlbHNQSwECLQAUAAYACAAAACEAN4mSDc8BAAB/AwAA&#10;DgAAAAAAAAAAAAAAAAAuAgAAZHJzL2Uyb0RvYy54bWxQSwECLQAUAAYACAAAACEA6CYrn94AAAAN&#10;AQAADwAAAAAAAAAAAAAAAAApBAAAZHJzL2Rvd25yZXYueG1sUEsFBgAAAAAEAAQA8wAAADQFAAAA&#10;AA==&#10;" strokeweight="1.5pt"/>
          </w:pict>
        </mc:Fallback>
      </mc:AlternateContent>
    </w:r>
    <w:r w:rsidR="001B6FC1" w:rsidRPr="00D82E0D">
      <w:rPr>
        <w:rFonts w:ascii="Arial" w:hAnsi="Arial" w:cs="Arial"/>
        <w:sz w:val="18"/>
        <w:szCs w:val="20"/>
      </w:rPr>
      <w:t xml:space="preserve">         </w:t>
    </w:r>
    <w:r w:rsidR="001B6FC1" w:rsidRPr="00D82E0D">
      <w:rPr>
        <w:rFonts w:ascii="Arial" w:hAnsi="Arial" w:cs="Arial"/>
        <w:sz w:val="18"/>
        <w:szCs w:val="20"/>
      </w:rPr>
      <w:tab/>
    </w:r>
    <w:r w:rsidR="001B6FC1" w:rsidRPr="00D82E0D">
      <w:rPr>
        <w:rFonts w:ascii="Arial" w:hAnsi="Arial" w:cs="Arial"/>
        <w:sz w:val="18"/>
        <w:szCs w:val="20"/>
      </w:rPr>
      <w:tab/>
    </w:r>
    <w:r w:rsidR="00062A36" w:rsidRPr="00D82E0D">
      <w:rPr>
        <w:rFonts w:ascii="Arial" w:hAnsi="Arial" w:cs="Arial"/>
        <w:sz w:val="18"/>
        <w:szCs w:val="20"/>
      </w:rPr>
      <w:t xml:space="preserve">Page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PAGE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r w:rsidR="00062A36" w:rsidRPr="00D82E0D">
      <w:rPr>
        <w:rFonts w:ascii="Arial" w:hAnsi="Arial" w:cs="Arial"/>
        <w:sz w:val="18"/>
        <w:szCs w:val="20"/>
      </w:rPr>
      <w:t xml:space="preserv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NUMPAGES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p>
  <w:p w14:paraId="25209C50" w14:textId="4349F180" w:rsidR="00607C3C" w:rsidRPr="00D82E0D" w:rsidRDefault="00607C3C" w:rsidP="006133BB">
    <w:pPr>
      <w:spacing w:after="0" w:line="240" w:lineRule="auto"/>
      <w:jc w:val="right"/>
      <w:rPr>
        <w:rFonts w:ascii="Arial" w:hAnsi="Arial" w:cs="Arial"/>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1108" w14:textId="77777777" w:rsidR="005652A1" w:rsidRDefault="00565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509C3" w14:textId="77777777" w:rsidR="009E7D9B" w:rsidRDefault="009E7D9B" w:rsidP="006566EC">
      <w:pPr>
        <w:spacing w:after="0" w:line="240" w:lineRule="auto"/>
      </w:pPr>
      <w:r>
        <w:separator/>
      </w:r>
    </w:p>
  </w:footnote>
  <w:footnote w:type="continuationSeparator" w:id="0">
    <w:p w14:paraId="53780364" w14:textId="77777777" w:rsidR="009E7D9B" w:rsidRDefault="009E7D9B" w:rsidP="00656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832C" w14:textId="77777777" w:rsidR="005652A1" w:rsidRDefault="00565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2108" w14:textId="316DAC16" w:rsidR="006B017A" w:rsidRDefault="002A4913" w:rsidP="002A4913">
    <w:pPr>
      <w:pStyle w:val="Header"/>
      <w:tabs>
        <w:tab w:val="clear" w:pos="9360"/>
        <w:tab w:val="right" w:pos="9192"/>
      </w:tabs>
    </w:pPr>
    <w:r>
      <w:rPr>
        <w:noProof/>
      </w:rPr>
      <w:drawing>
        <wp:anchor distT="0" distB="0" distL="114300" distR="114300" simplePos="0" relativeHeight="251665920" behindDoc="0" locked="0" layoutInCell="1" allowOverlap="1" wp14:anchorId="61C25C04" wp14:editId="576FA7E6">
          <wp:simplePos x="0" y="0"/>
          <wp:positionH relativeFrom="margin">
            <wp:posOffset>4055745</wp:posOffset>
          </wp:positionH>
          <wp:positionV relativeFrom="page">
            <wp:posOffset>437515</wp:posOffset>
          </wp:positionV>
          <wp:extent cx="1991995" cy="233045"/>
          <wp:effectExtent l="0" t="0" r="1905" b="0"/>
          <wp:wrapTopAndBottom/>
          <wp:docPr id="1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991995" cy="233045"/>
                  </a:xfrm>
                  <a:prstGeom prst="rect">
                    <a:avLst/>
                  </a:prstGeom>
                </pic:spPr>
              </pic:pic>
            </a:graphicData>
          </a:graphic>
          <wp14:sizeRelH relativeFrom="margin">
            <wp14:pctWidth>0</wp14:pctWidth>
          </wp14:sizeRelH>
          <wp14:sizeRelV relativeFrom="margin">
            <wp14:pctHeight>0</wp14:pctHeight>
          </wp14:sizeRelV>
        </wp:anchor>
      </w:drawing>
    </w:r>
    <w:r w:rsidR="00CC53CD">
      <w:rPr>
        <w:noProof/>
      </w:rPr>
      <w:drawing>
        <wp:anchor distT="0" distB="0" distL="114300" distR="114300" simplePos="0" relativeHeight="251665408" behindDoc="0" locked="0" layoutInCell="1" allowOverlap="1" wp14:anchorId="4EBDD9C4" wp14:editId="7F4CC787">
          <wp:simplePos x="0" y="0"/>
          <wp:positionH relativeFrom="margin">
            <wp:posOffset>-351790</wp:posOffset>
          </wp:positionH>
          <wp:positionV relativeFrom="paragraph">
            <wp:posOffset>116205</wp:posOffset>
          </wp:positionV>
          <wp:extent cx="1428750" cy="471170"/>
          <wp:effectExtent l="0" t="0" r="6350" b="0"/>
          <wp:wrapTopAndBottom/>
          <wp:docPr id="1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polat Legal_04.png"/>
                  <pic:cNvPicPr/>
                </pic:nvPicPr>
                <pic:blipFill>
                  <a:blip r:embed="rId2">
                    <a:extLst>
                      <a:ext uri="{28A0092B-C50C-407E-A947-70E740481C1C}">
                        <a14:useLocalDpi xmlns:a14="http://schemas.microsoft.com/office/drawing/2010/main" val="0"/>
                      </a:ext>
                    </a:extLst>
                  </a:blip>
                  <a:stretch>
                    <a:fillRect/>
                  </a:stretch>
                </pic:blipFill>
                <pic:spPr>
                  <a:xfrm>
                    <a:off x="0" y="0"/>
                    <a:ext cx="1428750" cy="471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2EBE" w14:textId="77777777" w:rsidR="005652A1" w:rsidRDefault="00565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A1204"/>
    <w:multiLevelType w:val="multilevel"/>
    <w:tmpl w:val="A6B0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AC4C34"/>
    <w:multiLevelType w:val="multilevel"/>
    <w:tmpl w:val="756C2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7F6F0B"/>
    <w:multiLevelType w:val="hybridMultilevel"/>
    <w:tmpl w:val="8C900F24"/>
    <w:lvl w:ilvl="0" w:tplc="1E0E4B52">
      <w:start w:val="1"/>
      <w:numFmt w:val="decimal"/>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D648F2"/>
    <w:multiLevelType w:val="multilevel"/>
    <w:tmpl w:val="5D947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style="v-text-anchor:middle" strokecolor="white">
      <v:stroke color="white" weight="1pt"/>
      <v:shadow color="#d8d8d8" offset="3p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MTYzsTQ1MjM1MDdV0lEKTi0uzszPAymwrAUAYZhjESwAAAA="/>
  </w:docVars>
  <w:rsids>
    <w:rsidRoot w:val="006566EC"/>
    <w:rsid w:val="00015184"/>
    <w:rsid w:val="00016093"/>
    <w:rsid w:val="00016DB8"/>
    <w:rsid w:val="00020FDF"/>
    <w:rsid w:val="000328EA"/>
    <w:rsid w:val="000356B1"/>
    <w:rsid w:val="00040BD7"/>
    <w:rsid w:val="00041768"/>
    <w:rsid w:val="00041914"/>
    <w:rsid w:val="00043338"/>
    <w:rsid w:val="00043A6D"/>
    <w:rsid w:val="00045FCC"/>
    <w:rsid w:val="00051CFE"/>
    <w:rsid w:val="000600AF"/>
    <w:rsid w:val="00062A36"/>
    <w:rsid w:val="0006300B"/>
    <w:rsid w:val="000672FE"/>
    <w:rsid w:val="0008143A"/>
    <w:rsid w:val="00084150"/>
    <w:rsid w:val="00091C33"/>
    <w:rsid w:val="000935EF"/>
    <w:rsid w:val="000A5668"/>
    <w:rsid w:val="000A72DC"/>
    <w:rsid w:val="000B250E"/>
    <w:rsid w:val="000B72F8"/>
    <w:rsid w:val="000C396E"/>
    <w:rsid w:val="000C7F57"/>
    <w:rsid w:val="000D1BDE"/>
    <w:rsid w:val="000D23B5"/>
    <w:rsid w:val="000D33DC"/>
    <w:rsid w:val="000E01D1"/>
    <w:rsid w:val="000E2871"/>
    <w:rsid w:val="000E3880"/>
    <w:rsid w:val="000F0971"/>
    <w:rsid w:val="000F0DFB"/>
    <w:rsid w:val="000F543B"/>
    <w:rsid w:val="000F57B8"/>
    <w:rsid w:val="000F591F"/>
    <w:rsid w:val="000F71C2"/>
    <w:rsid w:val="00106F1D"/>
    <w:rsid w:val="00111954"/>
    <w:rsid w:val="0011684C"/>
    <w:rsid w:val="00120B17"/>
    <w:rsid w:val="0012373B"/>
    <w:rsid w:val="00131001"/>
    <w:rsid w:val="00140229"/>
    <w:rsid w:val="00144329"/>
    <w:rsid w:val="001529D0"/>
    <w:rsid w:val="00155467"/>
    <w:rsid w:val="00157B6C"/>
    <w:rsid w:val="0016529C"/>
    <w:rsid w:val="001719D2"/>
    <w:rsid w:val="00180504"/>
    <w:rsid w:val="00183F24"/>
    <w:rsid w:val="00186956"/>
    <w:rsid w:val="00187801"/>
    <w:rsid w:val="001A5E74"/>
    <w:rsid w:val="001A7F7F"/>
    <w:rsid w:val="001B1EA4"/>
    <w:rsid w:val="001B60A3"/>
    <w:rsid w:val="001B6FC1"/>
    <w:rsid w:val="001C3D45"/>
    <w:rsid w:val="001C7631"/>
    <w:rsid w:val="001D05C7"/>
    <w:rsid w:val="001E3690"/>
    <w:rsid w:val="001E373E"/>
    <w:rsid w:val="001F25B3"/>
    <w:rsid w:val="00204F54"/>
    <w:rsid w:val="00205628"/>
    <w:rsid w:val="002206E8"/>
    <w:rsid w:val="002207A0"/>
    <w:rsid w:val="00224F7B"/>
    <w:rsid w:val="00224FFC"/>
    <w:rsid w:val="002263B2"/>
    <w:rsid w:val="00256FC7"/>
    <w:rsid w:val="002662E9"/>
    <w:rsid w:val="00293FD3"/>
    <w:rsid w:val="00295195"/>
    <w:rsid w:val="00295D63"/>
    <w:rsid w:val="002A2E5F"/>
    <w:rsid w:val="002A2FED"/>
    <w:rsid w:val="002A4913"/>
    <w:rsid w:val="002A62F3"/>
    <w:rsid w:val="002A677F"/>
    <w:rsid w:val="002B19C9"/>
    <w:rsid w:val="002B4CA1"/>
    <w:rsid w:val="002B7C7E"/>
    <w:rsid w:val="002C1F5F"/>
    <w:rsid w:val="002C2F9E"/>
    <w:rsid w:val="002D133B"/>
    <w:rsid w:val="002D4C7C"/>
    <w:rsid w:val="002F5D14"/>
    <w:rsid w:val="00304793"/>
    <w:rsid w:val="00316007"/>
    <w:rsid w:val="0032427D"/>
    <w:rsid w:val="00324FBC"/>
    <w:rsid w:val="00325773"/>
    <w:rsid w:val="0033347A"/>
    <w:rsid w:val="00333DB7"/>
    <w:rsid w:val="00334458"/>
    <w:rsid w:val="00336437"/>
    <w:rsid w:val="003403D3"/>
    <w:rsid w:val="00341610"/>
    <w:rsid w:val="00343518"/>
    <w:rsid w:val="003457A3"/>
    <w:rsid w:val="003565AD"/>
    <w:rsid w:val="00373915"/>
    <w:rsid w:val="0037590A"/>
    <w:rsid w:val="003812A3"/>
    <w:rsid w:val="00381B4F"/>
    <w:rsid w:val="003B483C"/>
    <w:rsid w:val="003D11F1"/>
    <w:rsid w:val="003D1569"/>
    <w:rsid w:val="003E7E23"/>
    <w:rsid w:val="00401B20"/>
    <w:rsid w:val="00413DE1"/>
    <w:rsid w:val="00423444"/>
    <w:rsid w:val="00427A1A"/>
    <w:rsid w:val="00441964"/>
    <w:rsid w:val="004504CD"/>
    <w:rsid w:val="00450746"/>
    <w:rsid w:val="004541D4"/>
    <w:rsid w:val="004615BC"/>
    <w:rsid w:val="004915EB"/>
    <w:rsid w:val="004942DA"/>
    <w:rsid w:val="004A3AC1"/>
    <w:rsid w:val="004A6383"/>
    <w:rsid w:val="004B2977"/>
    <w:rsid w:val="004C3652"/>
    <w:rsid w:val="004C4A0C"/>
    <w:rsid w:val="004C4C25"/>
    <w:rsid w:val="004C5A4E"/>
    <w:rsid w:val="004D1A00"/>
    <w:rsid w:val="004F3C46"/>
    <w:rsid w:val="004F67A0"/>
    <w:rsid w:val="00507490"/>
    <w:rsid w:val="00517A8A"/>
    <w:rsid w:val="005221E6"/>
    <w:rsid w:val="00526F0B"/>
    <w:rsid w:val="005305DE"/>
    <w:rsid w:val="00530CD4"/>
    <w:rsid w:val="00541450"/>
    <w:rsid w:val="00551279"/>
    <w:rsid w:val="0055538E"/>
    <w:rsid w:val="00560313"/>
    <w:rsid w:val="005612ED"/>
    <w:rsid w:val="005652A1"/>
    <w:rsid w:val="00571BA6"/>
    <w:rsid w:val="00584C8D"/>
    <w:rsid w:val="005927B0"/>
    <w:rsid w:val="00595A17"/>
    <w:rsid w:val="005B7436"/>
    <w:rsid w:val="005B7D26"/>
    <w:rsid w:val="005C3CE2"/>
    <w:rsid w:val="005E205C"/>
    <w:rsid w:val="005F0C16"/>
    <w:rsid w:val="00602045"/>
    <w:rsid w:val="006050E1"/>
    <w:rsid w:val="0060654D"/>
    <w:rsid w:val="0060655B"/>
    <w:rsid w:val="0060717A"/>
    <w:rsid w:val="00607C3C"/>
    <w:rsid w:val="006133BB"/>
    <w:rsid w:val="00613743"/>
    <w:rsid w:val="00641DB2"/>
    <w:rsid w:val="00644E35"/>
    <w:rsid w:val="006566EC"/>
    <w:rsid w:val="006611AF"/>
    <w:rsid w:val="00666190"/>
    <w:rsid w:val="00682A9E"/>
    <w:rsid w:val="00686D1B"/>
    <w:rsid w:val="00686EE3"/>
    <w:rsid w:val="006B017A"/>
    <w:rsid w:val="006B037E"/>
    <w:rsid w:val="006B1EFC"/>
    <w:rsid w:val="006B27CB"/>
    <w:rsid w:val="006C6838"/>
    <w:rsid w:val="006E26CF"/>
    <w:rsid w:val="006F021F"/>
    <w:rsid w:val="006F388E"/>
    <w:rsid w:val="00705963"/>
    <w:rsid w:val="007112E8"/>
    <w:rsid w:val="0071255F"/>
    <w:rsid w:val="00733E03"/>
    <w:rsid w:val="0074247F"/>
    <w:rsid w:val="007510C2"/>
    <w:rsid w:val="007524D6"/>
    <w:rsid w:val="00754EEB"/>
    <w:rsid w:val="0077398A"/>
    <w:rsid w:val="007819B0"/>
    <w:rsid w:val="00781A83"/>
    <w:rsid w:val="0079185B"/>
    <w:rsid w:val="007918F1"/>
    <w:rsid w:val="00791C4B"/>
    <w:rsid w:val="00796B26"/>
    <w:rsid w:val="007B3349"/>
    <w:rsid w:val="007B7F9B"/>
    <w:rsid w:val="007C6DCE"/>
    <w:rsid w:val="007D7C2A"/>
    <w:rsid w:val="007F4B3D"/>
    <w:rsid w:val="007F68DD"/>
    <w:rsid w:val="00800684"/>
    <w:rsid w:val="00805FB0"/>
    <w:rsid w:val="008270BD"/>
    <w:rsid w:val="00842C0D"/>
    <w:rsid w:val="00843F0D"/>
    <w:rsid w:val="00846DD4"/>
    <w:rsid w:val="008655C1"/>
    <w:rsid w:val="0086614D"/>
    <w:rsid w:val="00885B8D"/>
    <w:rsid w:val="00893956"/>
    <w:rsid w:val="00895BDA"/>
    <w:rsid w:val="008B34E2"/>
    <w:rsid w:val="008C72CD"/>
    <w:rsid w:val="009244AE"/>
    <w:rsid w:val="009320FA"/>
    <w:rsid w:val="00941043"/>
    <w:rsid w:val="00950053"/>
    <w:rsid w:val="00954289"/>
    <w:rsid w:val="00961569"/>
    <w:rsid w:val="00965000"/>
    <w:rsid w:val="00966E9B"/>
    <w:rsid w:val="0096781B"/>
    <w:rsid w:val="00990010"/>
    <w:rsid w:val="0099278E"/>
    <w:rsid w:val="00996BFA"/>
    <w:rsid w:val="00996F4A"/>
    <w:rsid w:val="009A0529"/>
    <w:rsid w:val="009A56E1"/>
    <w:rsid w:val="009A66DE"/>
    <w:rsid w:val="009A7225"/>
    <w:rsid w:val="009B0458"/>
    <w:rsid w:val="009B1029"/>
    <w:rsid w:val="009B6FA5"/>
    <w:rsid w:val="009C3DBE"/>
    <w:rsid w:val="009E7D9B"/>
    <w:rsid w:val="00A040CD"/>
    <w:rsid w:val="00A15AC6"/>
    <w:rsid w:val="00A169C6"/>
    <w:rsid w:val="00A36769"/>
    <w:rsid w:val="00A40874"/>
    <w:rsid w:val="00A46BE6"/>
    <w:rsid w:val="00A52B28"/>
    <w:rsid w:val="00A566D5"/>
    <w:rsid w:val="00A6131F"/>
    <w:rsid w:val="00A66C28"/>
    <w:rsid w:val="00A67648"/>
    <w:rsid w:val="00A7218F"/>
    <w:rsid w:val="00A75A3D"/>
    <w:rsid w:val="00A80A94"/>
    <w:rsid w:val="00A86362"/>
    <w:rsid w:val="00A904F4"/>
    <w:rsid w:val="00AA13C0"/>
    <w:rsid w:val="00AB02CF"/>
    <w:rsid w:val="00AB14E8"/>
    <w:rsid w:val="00AB1762"/>
    <w:rsid w:val="00AB2202"/>
    <w:rsid w:val="00AB33B3"/>
    <w:rsid w:val="00AC0188"/>
    <w:rsid w:val="00AC6753"/>
    <w:rsid w:val="00AD3C4A"/>
    <w:rsid w:val="00AD4EB9"/>
    <w:rsid w:val="00AE06B5"/>
    <w:rsid w:val="00AE163B"/>
    <w:rsid w:val="00AE58CF"/>
    <w:rsid w:val="00AE7810"/>
    <w:rsid w:val="00AE7E0E"/>
    <w:rsid w:val="00AF574E"/>
    <w:rsid w:val="00AF6082"/>
    <w:rsid w:val="00B03D82"/>
    <w:rsid w:val="00B10FC1"/>
    <w:rsid w:val="00B16051"/>
    <w:rsid w:val="00B17788"/>
    <w:rsid w:val="00B20929"/>
    <w:rsid w:val="00B217BE"/>
    <w:rsid w:val="00B31AFA"/>
    <w:rsid w:val="00B33619"/>
    <w:rsid w:val="00B3437C"/>
    <w:rsid w:val="00B67E70"/>
    <w:rsid w:val="00B81F9E"/>
    <w:rsid w:val="00BB14B0"/>
    <w:rsid w:val="00BB3012"/>
    <w:rsid w:val="00BB3755"/>
    <w:rsid w:val="00BB4199"/>
    <w:rsid w:val="00BC2573"/>
    <w:rsid w:val="00BC2B3B"/>
    <w:rsid w:val="00BC4E19"/>
    <w:rsid w:val="00BE0942"/>
    <w:rsid w:val="00BE109B"/>
    <w:rsid w:val="00BE7747"/>
    <w:rsid w:val="00BE7C72"/>
    <w:rsid w:val="00BF53FE"/>
    <w:rsid w:val="00BF6189"/>
    <w:rsid w:val="00BF6511"/>
    <w:rsid w:val="00C00D0A"/>
    <w:rsid w:val="00C03235"/>
    <w:rsid w:val="00C04C33"/>
    <w:rsid w:val="00C056C2"/>
    <w:rsid w:val="00C07F6C"/>
    <w:rsid w:val="00C12C67"/>
    <w:rsid w:val="00C20B88"/>
    <w:rsid w:val="00C22AAA"/>
    <w:rsid w:val="00C41C7B"/>
    <w:rsid w:val="00C533D5"/>
    <w:rsid w:val="00C60385"/>
    <w:rsid w:val="00C75BAE"/>
    <w:rsid w:val="00C84418"/>
    <w:rsid w:val="00C938C8"/>
    <w:rsid w:val="00CA7273"/>
    <w:rsid w:val="00CB46AB"/>
    <w:rsid w:val="00CC182C"/>
    <w:rsid w:val="00CC2B38"/>
    <w:rsid w:val="00CC53CD"/>
    <w:rsid w:val="00CD1C12"/>
    <w:rsid w:val="00CD63CC"/>
    <w:rsid w:val="00CE0F85"/>
    <w:rsid w:val="00CE4C8C"/>
    <w:rsid w:val="00D013BE"/>
    <w:rsid w:val="00D109CC"/>
    <w:rsid w:val="00D126B3"/>
    <w:rsid w:val="00D2470F"/>
    <w:rsid w:val="00D42607"/>
    <w:rsid w:val="00D43A64"/>
    <w:rsid w:val="00D63E6B"/>
    <w:rsid w:val="00D665A5"/>
    <w:rsid w:val="00D82E0D"/>
    <w:rsid w:val="00D90ABD"/>
    <w:rsid w:val="00DA6212"/>
    <w:rsid w:val="00DB3607"/>
    <w:rsid w:val="00DC2A4A"/>
    <w:rsid w:val="00DC65E6"/>
    <w:rsid w:val="00DD2964"/>
    <w:rsid w:val="00DD2AD0"/>
    <w:rsid w:val="00DE0409"/>
    <w:rsid w:val="00DE0AB1"/>
    <w:rsid w:val="00DE2731"/>
    <w:rsid w:val="00DE63A5"/>
    <w:rsid w:val="00DE64B4"/>
    <w:rsid w:val="00DF0F98"/>
    <w:rsid w:val="00E007D4"/>
    <w:rsid w:val="00E01553"/>
    <w:rsid w:val="00E03238"/>
    <w:rsid w:val="00E06664"/>
    <w:rsid w:val="00E11276"/>
    <w:rsid w:val="00E1772E"/>
    <w:rsid w:val="00E215C0"/>
    <w:rsid w:val="00E22BCD"/>
    <w:rsid w:val="00E2449C"/>
    <w:rsid w:val="00E26CC4"/>
    <w:rsid w:val="00E3042F"/>
    <w:rsid w:val="00E368EB"/>
    <w:rsid w:val="00E42568"/>
    <w:rsid w:val="00E51B58"/>
    <w:rsid w:val="00E61664"/>
    <w:rsid w:val="00E62050"/>
    <w:rsid w:val="00E75303"/>
    <w:rsid w:val="00E76785"/>
    <w:rsid w:val="00E81732"/>
    <w:rsid w:val="00E822DD"/>
    <w:rsid w:val="00E8511B"/>
    <w:rsid w:val="00E85BDB"/>
    <w:rsid w:val="00E85D62"/>
    <w:rsid w:val="00E909B9"/>
    <w:rsid w:val="00E943F7"/>
    <w:rsid w:val="00EA1037"/>
    <w:rsid w:val="00EC2EB1"/>
    <w:rsid w:val="00EE0827"/>
    <w:rsid w:val="00EE181E"/>
    <w:rsid w:val="00EE2E7B"/>
    <w:rsid w:val="00F00A9B"/>
    <w:rsid w:val="00F012B9"/>
    <w:rsid w:val="00F11E27"/>
    <w:rsid w:val="00F1315A"/>
    <w:rsid w:val="00F20EF4"/>
    <w:rsid w:val="00F367F8"/>
    <w:rsid w:val="00F47ABE"/>
    <w:rsid w:val="00F57DE9"/>
    <w:rsid w:val="00F627F5"/>
    <w:rsid w:val="00F672BE"/>
    <w:rsid w:val="00F751F2"/>
    <w:rsid w:val="00F76454"/>
    <w:rsid w:val="00F930CD"/>
    <w:rsid w:val="00FB3651"/>
    <w:rsid w:val="00FB4EEE"/>
    <w:rsid w:val="00FB6E70"/>
    <w:rsid w:val="00FC0EB6"/>
    <w:rsid w:val="00FC4EDD"/>
    <w:rsid w:val="00FD4B76"/>
    <w:rsid w:val="00FD5855"/>
    <w:rsid w:val="00FE0646"/>
    <w:rsid w:val="00FE4D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strokecolor="white">
      <v:stroke color="white" weight="1pt"/>
      <v:shadow color="#d8d8d8" offset="3pt,3pt"/>
    </o:shapedefaults>
    <o:shapelayout v:ext="edit">
      <o:idmap v:ext="edit" data="2"/>
    </o:shapelayout>
  </w:shapeDefaults>
  <w:decimalSymbol w:val="."/>
  <w:listSeparator w:val=","/>
  <w14:docId w14:val="7FF036E2"/>
  <w15:docId w15:val="{15541EBC-8ED5-4CB7-9CB3-255969BE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450"/>
    <w:rPr>
      <w:rFonts w:ascii="Calibri" w:eastAsia="Calibri" w:hAnsi="Calibri" w:cs="Times New Roman"/>
    </w:rPr>
  </w:style>
  <w:style w:type="paragraph" w:styleId="Heading1">
    <w:name w:val="heading 1"/>
    <w:basedOn w:val="Normal"/>
    <w:next w:val="Normal"/>
    <w:link w:val="Heading1Char"/>
    <w:qFormat/>
    <w:rsid w:val="00413DE1"/>
    <w:pPr>
      <w:keepNext/>
      <w:tabs>
        <w:tab w:val="num" w:pos="720"/>
      </w:tabs>
      <w:spacing w:before="240" w:after="60" w:line="240" w:lineRule="auto"/>
      <w:ind w:left="720" w:hanging="720"/>
      <w:outlineLvl w:val="0"/>
    </w:pPr>
    <w:rPr>
      <w:rFonts w:ascii="Times New Roman" w:eastAsia="Times New Roman" w:hAnsi="Times New Roman" w:cs="Arial"/>
      <w:bCs/>
      <w:kern w:val="32"/>
      <w:sz w:val="24"/>
      <w:szCs w:val="32"/>
    </w:rPr>
  </w:style>
  <w:style w:type="paragraph" w:styleId="Heading2">
    <w:name w:val="heading 2"/>
    <w:basedOn w:val="Normal"/>
    <w:next w:val="Normal"/>
    <w:link w:val="Heading2Char"/>
    <w:semiHidden/>
    <w:unhideWhenUsed/>
    <w:qFormat/>
    <w:rsid w:val="004C36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13DE1"/>
    <w:pPr>
      <w:keepNext/>
      <w:tabs>
        <w:tab w:val="num" w:pos="1440"/>
      </w:tabs>
      <w:spacing w:before="240" w:after="60" w:line="240" w:lineRule="auto"/>
      <w:ind w:left="1440" w:hanging="720"/>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C00D0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091C33"/>
    <w:pPr>
      <w:spacing w:before="100" w:beforeAutospacing="1" w:after="100" w:afterAutospacing="1" w:line="240" w:lineRule="auto"/>
      <w:outlineLvl w:val="4"/>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6EC"/>
  </w:style>
  <w:style w:type="paragraph" w:styleId="Footer">
    <w:name w:val="footer"/>
    <w:basedOn w:val="Normal"/>
    <w:link w:val="FooterChar"/>
    <w:uiPriority w:val="99"/>
    <w:unhideWhenUsed/>
    <w:rsid w:val="00656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6EC"/>
  </w:style>
  <w:style w:type="character" w:styleId="Strong">
    <w:name w:val="Strong"/>
    <w:uiPriority w:val="22"/>
    <w:qFormat/>
    <w:rsid w:val="006566EC"/>
    <w:rPr>
      <w:b/>
      <w:bCs/>
    </w:rPr>
  </w:style>
  <w:style w:type="character" w:styleId="Hyperlink">
    <w:name w:val="Hyperlink"/>
    <w:uiPriority w:val="99"/>
    <w:unhideWhenUsed/>
    <w:rsid w:val="006566EC"/>
    <w:rPr>
      <w:color w:val="0000FF"/>
      <w:u w:val="single"/>
    </w:rPr>
  </w:style>
  <w:style w:type="paragraph" w:styleId="BalloonText">
    <w:name w:val="Balloon Text"/>
    <w:basedOn w:val="Normal"/>
    <w:link w:val="BalloonTextChar"/>
    <w:uiPriority w:val="99"/>
    <w:semiHidden/>
    <w:unhideWhenUsed/>
    <w:rsid w:val="00656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6EC"/>
    <w:rPr>
      <w:rFonts w:ascii="Tahoma" w:hAnsi="Tahoma" w:cs="Tahoma"/>
      <w:sz w:val="16"/>
      <w:szCs w:val="16"/>
    </w:rPr>
  </w:style>
  <w:style w:type="paragraph" w:styleId="ListParagraph">
    <w:name w:val="List Paragraph"/>
    <w:basedOn w:val="Normal"/>
    <w:link w:val="ListParagraphChar"/>
    <w:uiPriority w:val="34"/>
    <w:qFormat/>
    <w:rsid w:val="00E42568"/>
    <w:pPr>
      <w:ind w:left="720"/>
      <w:contextualSpacing/>
    </w:pPr>
  </w:style>
  <w:style w:type="table" w:styleId="TableGrid">
    <w:name w:val="Table Grid"/>
    <w:basedOn w:val="TableNormal"/>
    <w:uiPriority w:val="59"/>
    <w:rsid w:val="00E4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91C33"/>
    <w:rPr>
      <w:rFonts w:ascii="Times New Roman" w:eastAsia="Times New Roman" w:hAnsi="Times New Roman" w:cs="Times New Roman"/>
      <w:b/>
      <w:bCs/>
      <w:sz w:val="26"/>
      <w:szCs w:val="26"/>
    </w:rPr>
  </w:style>
  <w:style w:type="paragraph" w:styleId="Title">
    <w:name w:val="Title"/>
    <w:basedOn w:val="Normal"/>
    <w:link w:val="TitleChar"/>
    <w:qFormat/>
    <w:rsid w:val="00BB4199"/>
    <w:pPr>
      <w:spacing w:after="0" w:line="240" w:lineRule="auto"/>
      <w:jc w:val="center"/>
    </w:pPr>
    <w:rPr>
      <w:rFonts w:ascii="VNI-Times" w:eastAsia="Times New Roman" w:hAnsi="VNI-Times"/>
      <w:b/>
      <w:sz w:val="36"/>
      <w:szCs w:val="20"/>
    </w:rPr>
  </w:style>
  <w:style w:type="character" w:customStyle="1" w:styleId="TitleChar">
    <w:name w:val="Title Char"/>
    <w:basedOn w:val="DefaultParagraphFont"/>
    <w:link w:val="Title"/>
    <w:rsid w:val="00BB4199"/>
    <w:rPr>
      <w:rFonts w:ascii="VNI-Times" w:eastAsia="Times New Roman" w:hAnsi="VNI-Times" w:cs="Times New Roman"/>
      <w:b/>
      <w:sz w:val="36"/>
      <w:szCs w:val="20"/>
    </w:rPr>
  </w:style>
  <w:style w:type="paragraph" w:styleId="BodyTextIndent">
    <w:name w:val="Body Text Indent"/>
    <w:basedOn w:val="Normal"/>
    <w:link w:val="BodyTextIndentChar"/>
    <w:semiHidden/>
    <w:unhideWhenUsed/>
    <w:rsid w:val="00541450"/>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541450"/>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4C365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413DE1"/>
    <w:rPr>
      <w:rFonts w:ascii="Times New Roman" w:eastAsia="Times New Roman" w:hAnsi="Times New Roman" w:cs="Arial"/>
      <w:bCs/>
      <w:kern w:val="32"/>
      <w:sz w:val="24"/>
      <w:szCs w:val="32"/>
    </w:rPr>
  </w:style>
  <w:style w:type="character" w:customStyle="1" w:styleId="Heading3Char">
    <w:name w:val="Heading 3 Char"/>
    <w:basedOn w:val="DefaultParagraphFont"/>
    <w:link w:val="Heading3"/>
    <w:semiHidden/>
    <w:rsid w:val="00413DE1"/>
    <w:rPr>
      <w:rFonts w:ascii="Arial" w:eastAsia="Times New Roman" w:hAnsi="Arial" w:cs="Arial"/>
      <w:b/>
      <w:bCs/>
      <w:sz w:val="26"/>
      <w:szCs w:val="26"/>
    </w:rPr>
  </w:style>
  <w:style w:type="paragraph" w:customStyle="1" w:styleId="CharCharCharCharCharChar2CharCharCharChar">
    <w:name w:val="Char Char Char Char Char Char2 Char Char Char Char"/>
    <w:basedOn w:val="Normal"/>
    <w:semiHidden/>
    <w:rsid w:val="00413DE1"/>
    <w:pPr>
      <w:spacing w:after="160" w:line="240" w:lineRule="exact"/>
    </w:pPr>
    <w:rPr>
      <w:rFonts w:ascii="Arial" w:eastAsia="Times New Roman" w:hAnsi="Arial"/>
    </w:rPr>
  </w:style>
  <w:style w:type="paragraph" w:styleId="BodyText">
    <w:name w:val="Body Text"/>
    <w:basedOn w:val="Normal"/>
    <w:link w:val="BodyTextChar"/>
    <w:rsid w:val="00413DE1"/>
    <w:pPr>
      <w:tabs>
        <w:tab w:val="left" w:pos="720"/>
        <w:tab w:val="left" w:pos="1440"/>
        <w:tab w:val="left" w:pos="2160"/>
      </w:tabs>
      <w:spacing w:after="0" w:line="240" w:lineRule="auto"/>
      <w:ind w:right="-1440"/>
    </w:pPr>
    <w:rPr>
      <w:rFonts w:ascii="Arial" w:eastAsia="Times New Roman" w:hAnsi="Arial"/>
      <w:szCs w:val="20"/>
    </w:rPr>
  </w:style>
  <w:style w:type="character" w:customStyle="1" w:styleId="BodyTextChar">
    <w:name w:val="Body Text Char"/>
    <w:basedOn w:val="DefaultParagraphFont"/>
    <w:link w:val="BodyText"/>
    <w:rsid w:val="00413DE1"/>
    <w:rPr>
      <w:rFonts w:ascii="Arial" w:eastAsia="Times New Roman" w:hAnsi="Arial" w:cs="Times New Roman"/>
      <w:szCs w:val="20"/>
    </w:rPr>
  </w:style>
  <w:style w:type="character" w:styleId="UnresolvedMention">
    <w:name w:val="Unresolved Mention"/>
    <w:basedOn w:val="DefaultParagraphFont"/>
    <w:uiPriority w:val="99"/>
    <w:rsid w:val="00C533D5"/>
    <w:rPr>
      <w:color w:val="605E5C"/>
      <w:shd w:val="clear" w:color="auto" w:fill="E1DFDD"/>
    </w:rPr>
  </w:style>
  <w:style w:type="character" w:customStyle="1" w:styleId="ListParagraphChar">
    <w:name w:val="List Paragraph Char"/>
    <w:link w:val="ListParagraph"/>
    <w:uiPriority w:val="34"/>
    <w:locked/>
    <w:rsid w:val="005221E6"/>
    <w:rPr>
      <w:rFonts w:ascii="Calibri" w:eastAsia="Calibri" w:hAnsi="Calibri" w:cs="Times New Roman"/>
    </w:rPr>
  </w:style>
  <w:style w:type="character" w:customStyle="1" w:styleId="Heading4Char">
    <w:name w:val="Heading 4 Char"/>
    <w:basedOn w:val="DefaultParagraphFont"/>
    <w:link w:val="Heading4"/>
    <w:uiPriority w:val="9"/>
    <w:semiHidden/>
    <w:rsid w:val="00C00D0A"/>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C00D0A"/>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187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84644">
      <w:bodyDiv w:val="1"/>
      <w:marLeft w:val="0"/>
      <w:marRight w:val="0"/>
      <w:marTop w:val="0"/>
      <w:marBottom w:val="0"/>
      <w:divBdr>
        <w:top w:val="none" w:sz="0" w:space="0" w:color="auto"/>
        <w:left w:val="none" w:sz="0" w:space="0" w:color="auto"/>
        <w:bottom w:val="none" w:sz="0" w:space="0" w:color="auto"/>
        <w:right w:val="none" w:sz="0" w:space="0" w:color="auto"/>
      </w:divBdr>
    </w:div>
    <w:div w:id="290288770">
      <w:bodyDiv w:val="1"/>
      <w:marLeft w:val="0"/>
      <w:marRight w:val="0"/>
      <w:marTop w:val="0"/>
      <w:marBottom w:val="0"/>
      <w:divBdr>
        <w:top w:val="none" w:sz="0" w:space="0" w:color="auto"/>
        <w:left w:val="none" w:sz="0" w:space="0" w:color="auto"/>
        <w:bottom w:val="none" w:sz="0" w:space="0" w:color="auto"/>
        <w:right w:val="none" w:sz="0" w:space="0" w:color="auto"/>
      </w:divBdr>
    </w:div>
    <w:div w:id="364646378">
      <w:bodyDiv w:val="1"/>
      <w:marLeft w:val="0"/>
      <w:marRight w:val="0"/>
      <w:marTop w:val="0"/>
      <w:marBottom w:val="0"/>
      <w:divBdr>
        <w:top w:val="none" w:sz="0" w:space="0" w:color="auto"/>
        <w:left w:val="none" w:sz="0" w:space="0" w:color="auto"/>
        <w:bottom w:val="none" w:sz="0" w:space="0" w:color="auto"/>
        <w:right w:val="none" w:sz="0" w:space="0" w:color="auto"/>
      </w:divBdr>
    </w:div>
    <w:div w:id="1013725008">
      <w:bodyDiv w:val="1"/>
      <w:marLeft w:val="0"/>
      <w:marRight w:val="0"/>
      <w:marTop w:val="0"/>
      <w:marBottom w:val="0"/>
      <w:divBdr>
        <w:top w:val="none" w:sz="0" w:space="0" w:color="auto"/>
        <w:left w:val="none" w:sz="0" w:space="0" w:color="auto"/>
        <w:bottom w:val="none" w:sz="0" w:space="0" w:color="auto"/>
        <w:right w:val="none" w:sz="0" w:space="0" w:color="auto"/>
      </w:divBdr>
    </w:div>
    <w:div w:id="1182400748">
      <w:bodyDiv w:val="1"/>
      <w:marLeft w:val="0"/>
      <w:marRight w:val="0"/>
      <w:marTop w:val="0"/>
      <w:marBottom w:val="0"/>
      <w:divBdr>
        <w:top w:val="none" w:sz="0" w:space="0" w:color="auto"/>
        <w:left w:val="none" w:sz="0" w:space="0" w:color="auto"/>
        <w:bottom w:val="none" w:sz="0" w:space="0" w:color="auto"/>
        <w:right w:val="none" w:sz="0" w:space="0" w:color="auto"/>
      </w:divBdr>
    </w:div>
    <w:div w:id="1201093585">
      <w:bodyDiv w:val="1"/>
      <w:marLeft w:val="0"/>
      <w:marRight w:val="0"/>
      <w:marTop w:val="0"/>
      <w:marBottom w:val="0"/>
      <w:divBdr>
        <w:top w:val="none" w:sz="0" w:space="0" w:color="auto"/>
        <w:left w:val="none" w:sz="0" w:space="0" w:color="auto"/>
        <w:bottom w:val="none" w:sz="0" w:space="0" w:color="auto"/>
        <w:right w:val="none" w:sz="0" w:space="0" w:color="auto"/>
      </w:divBdr>
    </w:div>
    <w:div w:id="1375353972">
      <w:bodyDiv w:val="1"/>
      <w:marLeft w:val="0"/>
      <w:marRight w:val="0"/>
      <w:marTop w:val="0"/>
      <w:marBottom w:val="0"/>
      <w:divBdr>
        <w:top w:val="none" w:sz="0" w:space="0" w:color="auto"/>
        <w:left w:val="none" w:sz="0" w:space="0" w:color="auto"/>
        <w:bottom w:val="none" w:sz="0" w:space="0" w:color="auto"/>
        <w:right w:val="none" w:sz="0" w:space="0" w:color="auto"/>
      </w:divBdr>
    </w:div>
    <w:div w:id="14459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olatlegal.com/articles/legal-issues-to-be-noted-when-converting-loans-into-contributed-capital.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info@apolatlega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7975F-4BCA-C243-8CE1-B302DECD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4595</Characters>
  <Application>Microsoft Office Word</Application>
  <DocSecurity>0</DocSecurity>
  <Lines>38</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VietForum.vn</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QuangLong</dc:creator>
  <cp:lastModifiedBy>APL - Ngoc An</cp:lastModifiedBy>
  <cp:revision>2</cp:revision>
  <cp:lastPrinted>2017-01-19T09:45:00Z</cp:lastPrinted>
  <dcterms:created xsi:type="dcterms:W3CDTF">2022-02-25T10:52:00Z</dcterms:created>
  <dcterms:modified xsi:type="dcterms:W3CDTF">2022-02-25T10:52:00Z</dcterms:modified>
</cp:coreProperties>
</file>