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106E" w14:textId="304C679C" w:rsidR="00621797" w:rsidRDefault="008C1DE5" w:rsidP="002E49A4">
      <w:pPr>
        <w:spacing w:after="0" w:line="242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LEGAL REGULATIONS</w:t>
      </w:r>
      <w:r w:rsidR="0079384D">
        <w:rPr>
          <w:rFonts w:ascii="Cambria" w:hAnsi="Cambria"/>
          <w:b/>
        </w:rPr>
        <w:t xml:space="preserve"> </w:t>
      </w:r>
      <w:r w:rsidR="00F04D45">
        <w:rPr>
          <w:rFonts w:ascii="Cambria" w:hAnsi="Cambria"/>
          <w:b/>
        </w:rPr>
        <w:t xml:space="preserve">ON </w:t>
      </w:r>
      <w:r w:rsidR="00621797">
        <w:rPr>
          <w:rFonts w:ascii="Cambria" w:hAnsi="Cambria"/>
          <w:b/>
        </w:rPr>
        <w:t xml:space="preserve">RECEIVING THE </w:t>
      </w:r>
      <w:r w:rsidR="00D36D47">
        <w:rPr>
          <w:rFonts w:ascii="Cambria" w:hAnsi="Cambria"/>
          <w:b/>
        </w:rPr>
        <w:t>NON-REFUNDABLE SPONSOR</w:t>
      </w:r>
      <w:r w:rsidR="00C941EF">
        <w:rPr>
          <w:rFonts w:ascii="Cambria" w:hAnsi="Cambria"/>
          <w:b/>
        </w:rPr>
        <w:t xml:space="preserve">SHIP </w:t>
      </w:r>
      <w:r w:rsidR="00F04D45">
        <w:rPr>
          <w:rFonts w:ascii="Cambria" w:hAnsi="Cambria"/>
          <w:b/>
        </w:rPr>
        <w:t>BY A SUBSIDIARY IN VIETNAM</w:t>
      </w:r>
      <w:r w:rsidR="00BB113A">
        <w:rPr>
          <w:rFonts w:ascii="Cambria" w:hAnsi="Cambria"/>
          <w:b/>
        </w:rPr>
        <w:t xml:space="preserve"> </w:t>
      </w:r>
      <w:r w:rsidR="00D36D47">
        <w:rPr>
          <w:rFonts w:ascii="Cambria" w:hAnsi="Cambria"/>
          <w:b/>
        </w:rPr>
        <w:t xml:space="preserve">FROM </w:t>
      </w:r>
      <w:r w:rsidR="00F04D45">
        <w:rPr>
          <w:rFonts w:ascii="Cambria" w:hAnsi="Cambria"/>
          <w:b/>
        </w:rPr>
        <w:t xml:space="preserve">ITS </w:t>
      </w:r>
      <w:r w:rsidR="00D36D47">
        <w:rPr>
          <w:rFonts w:ascii="Cambria" w:hAnsi="Cambria"/>
          <w:b/>
        </w:rPr>
        <w:t xml:space="preserve">FOREIGN PARENT </w:t>
      </w:r>
      <w:r w:rsidR="001219CC">
        <w:rPr>
          <w:rFonts w:ascii="Cambria" w:hAnsi="Cambria"/>
          <w:b/>
        </w:rPr>
        <w:t>COMPANY</w:t>
      </w:r>
    </w:p>
    <w:p w14:paraId="1BEBD236" w14:textId="77777777" w:rsidR="009F1ED6" w:rsidRDefault="00F95112" w:rsidP="002E49A4">
      <w:pPr>
        <w:spacing w:after="0" w:line="242" w:lineRule="auto"/>
        <w:jc w:val="both"/>
        <w:rPr>
          <w:rFonts w:ascii="Cambria" w:hAnsi="Cambria"/>
        </w:rPr>
      </w:pPr>
    </w:p>
    <w:p w14:paraId="1650517B" w14:textId="79E32E70" w:rsidR="00D36D47" w:rsidRDefault="001219CC" w:rsidP="002E49A4">
      <w:pPr>
        <w:pStyle w:val="ListParagraph"/>
        <w:numPr>
          <w:ilvl w:val="0"/>
          <w:numId w:val="8"/>
        </w:numPr>
        <w:spacing w:after="0" w:line="242" w:lineRule="auto"/>
        <w:ind w:hanging="72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May a </w:t>
      </w:r>
      <w:r w:rsidR="00D36D47">
        <w:rPr>
          <w:rFonts w:ascii="Cambria" w:hAnsi="Cambria"/>
          <w:b/>
        </w:rPr>
        <w:t xml:space="preserve">foreign parent </w:t>
      </w:r>
      <w:r>
        <w:rPr>
          <w:rFonts w:ascii="Cambria" w:hAnsi="Cambria"/>
          <w:b/>
        </w:rPr>
        <w:t xml:space="preserve">company </w:t>
      </w:r>
      <w:r w:rsidR="000A327F">
        <w:rPr>
          <w:rFonts w:ascii="Cambria" w:hAnsi="Cambria"/>
          <w:b/>
        </w:rPr>
        <w:t>(“</w:t>
      </w:r>
      <w:r w:rsidR="00614981">
        <w:rPr>
          <w:rFonts w:ascii="Cambria" w:hAnsi="Cambria"/>
          <w:b/>
        </w:rPr>
        <w:t xml:space="preserve">Parent </w:t>
      </w:r>
      <w:r w:rsidR="000A327F">
        <w:rPr>
          <w:rFonts w:ascii="Cambria" w:hAnsi="Cambria"/>
          <w:b/>
        </w:rPr>
        <w:t xml:space="preserve">Company”) </w:t>
      </w:r>
      <w:r>
        <w:rPr>
          <w:rFonts w:ascii="Cambria" w:hAnsi="Cambria"/>
          <w:b/>
        </w:rPr>
        <w:t>transfer a</w:t>
      </w:r>
      <w:r w:rsidR="00D36D47">
        <w:rPr>
          <w:rFonts w:ascii="Cambria" w:hAnsi="Cambria"/>
          <w:b/>
        </w:rPr>
        <w:t xml:space="preserve"> non-refundable </w:t>
      </w:r>
      <w:r w:rsidR="00EB34F8" w:rsidRPr="002E49A4">
        <w:rPr>
          <w:rFonts w:ascii="Cambria" w:hAnsi="Cambria"/>
          <w:b/>
          <w:lang w:val="en"/>
        </w:rPr>
        <w:t>sponsorship</w:t>
      </w:r>
      <w:r>
        <w:rPr>
          <w:rFonts w:ascii="Cambria" w:hAnsi="Cambria"/>
          <w:b/>
        </w:rPr>
        <w:t xml:space="preserve"> </w:t>
      </w:r>
      <w:r w:rsidR="003D69AB">
        <w:rPr>
          <w:rFonts w:ascii="Cambria" w:hAnsi="Cambria"/>
          <w:b/>
        </w:rPr>
        <w:t>to</w:t>
      </w:r>
      <w:r w:rsidR="00EB34F8">
        <w:rPr>
          <w:rFonts w:ascii="Cambria" w:hAnsi="Cambria"/>
          <w:b/>
        </w:rPr>
        <w:t xml:space="preserve"> its</w:t>
      </w:r>
      <w:r>
        <w:rPr>
          <w:rFonts w:ascii="Cambria" w:hAnsi="Cambria"/>
          <w:b/>
        </w:rPr>
        <w:t xml:space="preserve"> </w:t>
      </w:r>
      <w:r w:rsidR="003D69AB">
        <w:rPr>
          <w:rFonts w:ascii="Cambria" w:hAnsi="Cambria"/>
          <w:b/>
        </w:rPr>
        <w:t>subsidiaries in Vietnam</w:t>
      </w:r>
      <w:r w:rsidR="000A327F">
        <w:rPr>
          <w:rFonts w:ascii="Cambria" w:hAnsi="Cambria"/>
          <w:b/>
        </w:rPr>
        <w:t xml:space="preserve"> (“Subsidiary”)</w:t>
      </w:r>
      <w:r w:rsidR="003D69AB">
        <w:rPr>
          <w:rFonts w:ascii="Cambria" w:hAnsi="Cambria"/>
          <w:b/>
        </w:rPr>
        <w:t>?</w:t>
      </w:r>
    </w:p>
    <w:p w14:paraId="3F534477" w14:textId="77777777" w:rsidR="000E4CAA" w:rsidRDefault="000E4CAA" w:rsidP="002E49A4">
      <w:pPr>
        <w:pStyle w:val="ListParagraph"/>
        <w:spacing w:after="0" w:line="242" w:lineRule="auto"/>
        <w:jc w:val="both"/>
        <w:rPr>
          <w:rFonts w:ascii="Cambria" w:hAnsi="Cambria"/>
          <w:b/>
        </w:rPr>
      </w:pPr>
    </w:p>
    <w:p w14:paraId="3F71E503" w14:textId="418A1751" w:rsidR="00432DCD" w:rsidRDefault="00C941EF" w:rsidP="002E49A4">
      <w:pPr>
        <w:pStyle w:val="ListParagraph"/>
        <w:spacing w:after="0" w:line="242" w:lineRule="auto"/>
        <w:jc w:val="both"/>
        <w:rPr>
          <w:rFonts w:ascii="Cambria" w:hAnsi="Cambria"/>
          <w:lang w:val="en"/>
        </w:rPr>
      </w:pPr>
      <w:proofErr w:type="gramStart"/>
      <w:r w:rsidRPr="00C941EF">
        <w:rPr>
          <w:rFonts w:ascii="Cambria" w:hAnsi="Cambria"/>
          <w:lang w:val="en"/>
        </w:rPr>
        <w:t>First of all</w:t>
      </w:r>
      <w:proofErr w:type="gramEnd"/>
      <w:r w:rsidRPr="00C941EF">
        <w:rPr>
          <w:rFonts w:ascii="Cambria" w:hAnsi="Cambria"/>
          <w:lang w:val="en"/>
        </w:rPr>
        <w:t xml:space="preserve">, </w:t>
      </w:r>
      <w:r>
        <w:rPr>
          <w:rFonts w:ascii="Cambria" w:hAnsi="Cambria"/>
          <w:lang w:val="en"/>
        </w:rPr>
        <w:t>in accordance with</w:t>
      </w:r>
      <w:r w:rsidRPr="00C941EF">
        <w:rPr>
          <w:rFonts w:ascii="Cambria" w:hAnsi="Cambria"/>
          <w:lang w:val="en"/>
        </w:rPr>
        <w:t xml:space="preserve"> Article 4</w:t>
      </w:r>
      <w:r>
        <w:rPr>
          <w:rFonts w:ascii="Cambria" w:hAnsi="Cambria"/>
          <w:lang w:val="en"/>
        </w:rPr>
        <w:t>.7</w:t>
      </w:r>
      <w:r w:rsidRPr="00C941EF">
        <w:rPr>
          <w:rFonts w:ascii="Cambria" w:hAnsi="Cambria"/>
          <w:lang w:val="en"/>
        </w:rPr>
        <w:t xml:space="preserve"> of the Ordinance on Foreign Exchange 2005 (</w:t>
      </w:r>
      <w:r>
        <w:rPr>
          <w:rFonts w:ascii="Cambria" w:hAnsi="Cambria"/>
          <w:lang w:val="en"/>
        </w:rPr>
        <w:t>as amend</w:t>
      </w:r>
      <w:r w:rsidR="006F294F">
        <w:rPr>
          <w:rFonts w:ascii="Cambria" w:hAnsi="Cambria"/>
          <w:lang w:val="en"/>
        </w:rPr>
        <w:t>ed</w:t>
      </w:r>
      <w:r>
        <w:rPr>
          <w:rFonts w:ascii="Cambria" w:hAnsi="Cambria"/>
          <w:lang w:val="en"/>
        </w:rPr>
        <w:t xml:space="preserve"> in </w:t>
      </w:r>
      <w:r w:rsidRPr="00C941EF">
        <w:rPr>
          <w:rFonts w:ascii="Cambria" w:hAnsi="Cambria"/>
          <w:lang w:val="en"/>
        </w:rPr>
        <w:t xml:space="preserve">2013), the transfer of a non-refundable sponsorship to </w:t>
      </w:r>
      <w:r w:rsidR="00614981">
        <w:rPr>
          <w:rFonts w:ascii="Cambria" w:hAnsi="Cambria"/>
          <w:lang w:val="en"/>
        </w:rPr>
        <w:t>Subsidiary</w:t>
      </w:r>
      <w:r w:rsidRPr="00C941EF">
        <w:rPr>
          <w:rFonts w:ascii="Cambria" w:hAnsi="Cambria"/>
          <w:lang w:val="en"/>
        </w:rPr>
        <w:t xml:space="preserve"> by </w:t>
      </w:r>
      <w:r w:rsidR="00415046">
        <w:rPr>
          <w:rFonts w:ascii="Cambria" w:hAnsi="Cambria"/>
          <w:lang w:val="en"/>
        </w:rPr>
        <w:t xml:space="preserve">its </w:t>
      </w:r>
      <w:r w:rsidR="00614981" w:rsidRPr="00C941EF">
        <w:rPr>
          <w:rFonts w:ascii="Cambria" w:hAnsi="Cambria"/>
          <w:lang w:val="en"/>
        </w:rPr>
        <w:t xml:space="preserve">Parent Company </w:t>
      </w:r>
      <w:r w:rsidRPr="00C941EF">
        <w:rPr>
          <w:rFonts w:ascii="Cambria" w:hAnsi="Cambria"/>
          <w:lang w:val="en"/>
        </w:rPr>
        <w:t>is defined as a one-way money</w:t>
      </w:r>
      <w:r>
        <w:rPr>
          <w:rFonts w:ascii="Cambria" w:hAnsi="Cambria"/>
          <w:lang w:val="en"/>
        </w:rPr>
        <w:t xml:space="preserve"> transfer</w:t>
      </w:r>
      <w:r w:rsidRPr="00C941EF">
        <w:rPr>
          <w:rFonts w:ascii="Cambria" w:hAnsi="Cambria"/>
          <w:lang w:val="en"/>
        </w:rPr>
        <w:t xml:space="preserve">. </w:t>
      </w:r>
      <w:r>
        <w:rPr>
          <w:rFonts w:ascii="Cambria" w:hAnsi="Cambria"/>
          <w:lang w:val="en"/>
        </w:rPr>
        <w:t>Besides</w:t>
      </w:r>
      <w:r w:rsidRPr="00C941EF">
        <w:rPr>
          <w:rFonts w:ascii="Cambria" w:hAnsi="Cambria"/>
          <w:lang w:val="en"/>
        </w:rPr>
        <w:t>, according to Article 4</w:t>
      </w:r>
      <w:r>
        <w:rPr>
          <w:rFonts w:ascii="Cambria" w:hAnsi="Cambria"/>
          <w:lang w:val="en"/>
        </w:rPr>
        <w:t>.6</w:t>
      </w:r>
      <w:r w:rsidR="00415046">
        <w:rPr>
          <w:rFonts w:ascii="Cambria" w:hAnsi="Cambria"/>
          <w:lang w:val="en"/>
        </w:rPr>
        <w:t>(</w:t>
      </w:r>
      <w:r>
        <w:rPr>
          <w:rFonts w:ascii="Cambria" w:hAnsi="Cambria"/>
          <w:lang w:val="en"/>
        </w:rPr>
        <w:t>e</w:t>
      </w:r>
      <w:r w:rsidR="00415046">
        <w:rPr>
          <w:rFonts w:ascii="Cambria" w:hAnsi="Cambria"/>
          <w:lang w:val="en"/>
        </w:rPr>
        <w:t>)</w:t>
      </w:r>
      <w:r w:rsidRPr="00C941EF">
        <w:rPr>
          <w:rFonts w:ascii="Cambria" w:hAnsi="Cambria"/>
          <w:lang w:val="en"/>
        </w:rPr>
        <w:t xml:space="preserve"> of the Ordinance on Foreign Exchange 2005</w:t>
      </w:r>
      <w:r w:rsidR="00823141">
        <w:rPr>
          <w:rFonts w:ascii="Cambria" w:hAnsi="Cambria"/>
          <w:lang w:val="en"/>
        </w:rPr>
        <w:t xml:space="preserve"> (</w:t>
      </w:r>
      <w:r>
        <w:rPr>
          <w:rFonts w:ascii="Cambria" w:hAnsi="Cambria"/>
          <w:lang w:val="en"/>
        </w:rPr>
        <w:t>as amended in</w:t>
      </w:r>
      <w:r w:rsidRPr="00C941EF">
        <w:rPr>
          <w:rFonts w:ascii="Cambria" w:hAnsi="Cambria"/>
          <w:lang w:val="en"/>
        </w:rPr>
        <w:t xml:space="preserve"> 2013), a one-way money transfer is </w:t>
      </w:r>
      <w:r w:rsidR="008D0AC8" w:rsidRPr="00C941EF">
        <w:rPr>
          <w:rFonts w:ascii="Cambria" w:hAnsi="Cambria"/>
          <w:lang w:val="en"/>
        </w:rPr>
        <w:t>de</w:t>
      </w:r>
      <w:r w:rsidR="008D0AC8">
        <w:rPr>
          <w:rFonts w:ascii="Cambria" w:hAnsi="Cambria"/>
          <w:lang w:val="en"/>
        </w:rPr>
        <w:t>termined</w:t>
      </w:r>
      <w:r w:rsidRPr="00C941EF">
        <w:rPr>
          <w:rFonts w:ascii="Cambria" w:hAnsi="Cambria"/>
          <w:lang w:val="en"/>
        </w:rPr>
        <w:t xml:space="preserve"> as a current transaction. Therefore, the transfer of </w:t>
      </w:r>
      <w:r w:rsidR="006F294F">
        <w:rPr>
          <w:rFonts w:ascii="Cambria" w:hAnsi="Cambria"/>
          <w:lang w:val="en"/>
        </w:rPr>
        <w:t xml:space="preserve">a </w:t>
      </w:r>
      <w:r w:rsidR="008D0AC8">
        <w:rPr>
          <w:rFonts w:ascii="Cambria" w:hAnsi="Cambria"/>
          <w:lang w:val="en"/>
        </w:rPr>
        <w:t xml:space="preserve">non-refundable sponsorship </w:t>
      </w:r>
      <w:r w:rsidRPr="00C941EF">
        <w:rPr>
          <w:rFonts w:ascii="Cambria" w:hAnsi="Cambria"/>
          <w:lang w:val="en"/>
        </w:rPr>
        <w:t xml:space="preserve">from the </w:t>
      </w:r>
      <w:r w:rsidR="0015107B" w:rsidRPr="00C941EF">
        <w:rPr>
          <w:rFonts w:ascii="Cambria" w:hAnsi="Cambria"/>
          <w:lang w:val="en"/>
        </w:rPr>
        <w:t>Parent Company</w:t>
      </w:r>
      <w:r w:rsidRPr="00C941EF">
        <w:rPr>
          <w:rFonts w:ascii="Cambria" w:hAnsi="Cambria"/>
          <w:lang w:val="en"/>
        </w:rPr>
        <w:t xml:space="preserve"> to </w:t>
      </w:r>
      <w:r w:rsidR="001A45F5">
        <w:rPr>
          <w:rFonts w:ascii="Cambria" w:hAnsi="Cambria"/>
          <w:lang w:val="en"/>
        </w:rPr>
        <w:t xml:space="preserve">its </w:t>
      </w:r>
      <w:r w:rsidR="0015107B">
        <w:rPr>
          <w:rFonts w:ascii="Cambria" w:hAnsi="Cambria"/>
          <w:lang w:val="en"/>
        </w:rPr>
        <w:t>S</w:t>
      </w:r>
      <w:r w:rsidR="0015107B" w:rsidRPr="00C941EF">
        <w:rPr>
          <w:rFonts w:ascii="Cambria" w:hAnsi="Cambria"/>
          <w:lang w:val="en"/>
        </w:rPr>
        <w:t xml:space="preserve">ubsidiary </w:t>
      </w:r>
      <w:r w:rsidRPr="00C941EF">
        <w:rPr>
          <w:rFonts w:ascii="Cambria" w:hAnsi="Cambria"/>
          <w:lang w:val="en"/>
        </w:rPr>
        <w:t xml:space="preserve">is a remittance </w:t>
      </w:r>
      <w:r w:rsidR="008D0AC8">
        <w:rPr>
          <w:rFonts w:ascii="Cambria" w:hAnsi="Cambria"/>
          <w:lang w:val="en"/>
        </w:rPr>
        <w:t>of money</w:t>
      </w:r>
      <w:r w:rsidRPr="00C941EF">
        <w:rPr>
          <w:rFonts w:ascii="Cambria" w:hAnsi="Cambria"/>
          <w:lang w:val="en"/>
        </w:rPr>
        <w:t xml:space="preserve"> for current transactions.</w:t>
      </w:r>
    </w:p>
    <w:p w14:paraId="5267B8C7" w14:textId="77777777" w:rsidR="008D0AC8" w:rsidRPr="008D0AC8" w:rsidRDefault="008D0AC8" w:rsidP="002E49A4">
      <w:pPr>
        <w:pStyle w:val="ListParagraph"/>
        <w:spacing w:after="0" w:line="242" w:lineRule="auto"/>
        <w:jc w:val="both"/>
        <w:rPr>
          <w:rFonts w:ascii="Cambria" w:hAnsi="Cambria"/>
        </w:rPr>
      </w:pPr>
    </w:p>
    <w:p w14:paraId="7D74AF74" w14:textId="063224ED" w:rsidR="008D0AC8" w:rsidRPr="008D0AC8" w:rsidRDefault="008D0AC8" w:rsidP="002E49A4">
      <w:pPr>
        <w:pStyle w:val="ListParagraph"/>
        <w:spacing w:after="0" w:line="242" w:lineRule="auto"/>
        <w:jc w:val="both"/>
        <w:rPr>
          <w:rFonts w:ascii="Cambria" w:hAnsi="Cambria"/>
        </w:rPr>
      </w:pPr>
      <w:r>
        <w:rPr>
          <w:rFonts w:ascii="Cambria" w:hAnsi="Cambria"/>
        </w:rPr>
        <w:t>In addition</w:t>
      </w:r>
      <w:r w:rsidR="00556E59">
        <w:rPr>
          <w:rFonts w:ascii="Cambria" w:hAnsi="Cambria"/>
        </w:rPr>
        <w:t xml:space="preserve">, </w:t>
      </w:r>
      <w:r w:rsidRPr="008D0AC8">
        <w:rPr>
          <w:rFonts w:ascii="Cambria" w:hAnsi="Cambria"/>
          <w:lang w:val="en"/>
        </w:rPr>
        <w:t xml:space="preserve">Article 6 </w:t>
      </w:r>
      <w:r>
        <w:rPr>
          <w:rFonts w:ascii="Cambria" w:hAnsi="Cambria"/>
          <w:lang w:val="en"/>
        </w:rPr>
        <w:t xml:space="preserve">of the </w:t>
      </w:r>
      <w:r w:rsidRPr="008D0AC8">
        <w:rPr>
          <w:rFonts w:ascii="Cambria" w:hAnsi="Cambria"/>
          <w:lang w:val="en"/>
        </w:rPr>
        <w:t>Ordinance on Foreign Exchange 2005 (</w:t>
      </w:r>
      <w:r>
        <w:rPr>
          <w:rFonts w:ascii="Cambria" w:hAnsi="Cambria"/>
          <w:lang w:val="en"/>
        </w:rPr>
        <w:t>as amended in</w:t>
      </w:r>
      <w:r w:rsidRPr="008D0AC8">
        <w:rPr>
          <w:rFonts w:ascii="Cambria" w:hAnsi="Cambria"/>
          <w:lang w:val="en"/>
        </w:rPr>
        <w:t xml:space="preserve"> 2013) stipulates that all payment</w:t>
      </w:r>
      <w:r w:rsidR="007E32B6">
        <w:rPr>
          <w:rFonts w:ascii="Cambria" w:hAnsi="Cambria"/>
          <w:lang w:val="en"/>
        </w:rPr>
        <w:t>s</w:t>
      </w:r>
      <w:r w:rsidRPr="008D0AC8">
        <w:rPr>
          <w:rFonts w:ascii="Cambria" w:hAnsi="Cambria"/>
          <w:lang w:val="en"/>
        </w:rPr>
        <w:t xml:space="preserve"> and </w:t>
      </w:r>
      <w:r w:rsidR="00673AAC" w:rsidRPr="00673AAC">
        <w:rPr>
          <w:rFonts w:ascii="Cambria" w:hAnsi="Cambria"/>
          <w:lang w:val="en"/>
        </w:rPr>
        <w:t xml:space="preserve">remittances </w:t>
      </w:r>
      <w:r w:rsidRPr="008D0AC8">
        <w:rPr>
          <w:rFonts w:ascii="Cambria" w:hAnsi="Cambria"/>
          <w:lang w:val="en"/>
        </w:rPr>
        <w:t xml:space="preserve">for current transactions between residents and non-residents are free to perform. In which, the </w:t>
      </w:r>
      <w:r w:rsidR="0015107B" w:rsidRPr="008D0AC8">
        <w:rPr>
          <w:rFonts w:ascii="Cambria" w:hAnsi="Cambria"/>
          <w:lang w:val="en"/>
        </w:rPr>
        <w:t xml:space="preserve">Parent Company </w:t>
      </w:r>
      <w:r w:rsidRPr="008D0AC8">
        <w:rPr>
          <w:rFonts w:ascii="Cambria" w:hAnsi="Cambria"/>
          <w:lang w:val="en"/>
        </w:rPr>
        <w:t xml:space="preserve">is determined to be a non-resident, and the </w:t>
      </w:r>
      <w:r w:rsidR="0015107B">
        <w:rPr>
          <w:rFonts w:ascii="Cambria" w:hAnsi="Cambria"/>
          <w:lang w:val="en"/>
        </w:rPr>
        <w:t>S</w:t>
      </w:r>
      <w:r w:rsidR="0015107B" w:rsidRPr="008D0AC8">
        <w:rPr>
          <w:rFonts w:ascii="Cambria" w:hAnsi="Cambria"/>
          <w:lang w:val="en"/>
        </w:rPr>
        <w:t xml:space="preserve">ubsidiary </w:t>
      </w:r>
      <w:r w:rsidRPr="008D0AC8">
        <w:rPr>
          <w:rFonts w:ascii="Cambria" w:hAnsi="Cambria"/>
          <w:lang w:val="en"/>
        </w:rPr>
        <w:t>is determined to be a resident according to Article 4</w:t>
      </w:r>
      <w:r w:rsidR="00823141">
        <w:rPr>
          <w:rFonts w:ascii="Cambria" w:hAnsi="Cambria"/>
          <w:lang w:val="en"/>
        </w:rPr>
        <w:t>.2 and Article 4.3</w:t>
      </w:r>
      <w:r w:rsidRPr="008D0AC8">
        <w:rPr>
          <w:rFonts w:ascii="Cambria" w:hAnsi="Cambria"/>
          <w:lang w:val="en"/>
        </w:rPr>
        <w:t xml:space="preserve"> of the Ordinance on Foreign Exchange 2005 (</w:t>
      </w:r>
      <w:r w:rsidR="00823141">
        <w:rPr>
          <w:rFonts w:ascii="Cambria" w:hAnsi="Cambria"/>
          <w:lang w:val="en"/>
        </w:rPr>
        <w:t>as amended in</w:t>
      </w:r>
      <w:r w:rsidRPr="008D0AC8">
        <w:rPr>
          <w:rFonts w:ascii="Cambria" w:hAnsi="Cambria"/>
          <w:lang w:val="en"/>
        </w:rPr>
        <w:t xml:space="preserve"> 2013).</w:t>
      </w:r>
      <w:r w:rsidR="00823141">
        <w:rPr>
          <w:rFonts w:ascii="Cambria" w:hAnsi="Cambria"/>
          <w:lang w:val="en"/>
        </w:rPr>
        <w:t xml:space="preserve"> </w:t>
      </w:r>
      <w:proofErr w:type="gramStart"/>
      <w:r w:rsidR="00142613">
        <w:rPr>
          <w:rFonts w:ascii="Cambria" w:hAnsi="Cambria"/>
          <w:lang w:val="en"/>
        </w:rPr>
        <w:t>Since,</w:t>
      </w:r>
      <w:proofErr w:type="gramEnd"/>
      <w:r w:rsidRPr="008D0AC8">
        <w:rPr>
          <w:rFonts w:ascii="Cambria" w:hAnsi="Cambria"/>
          <w:lang w:val="en"/>
        </w:rPr>
        <w:t xml:space="preserve"> </w:t>
      </w:r>
      <w:r w:rsidR="000D2215">
        <w:rPr>
          <w:rFonts w:ascii="Cambria" w:hAnsi="Cambria"/>
          <w:lang w:val="en"/>
        </w:rPr>
        <w:t xml:space="preserve">the </w:t>
      </w:r>
      <w:r w:rsidR="000D2215" w:rsidRPr="000D2215">
        <w:rPr>
          <w:rFonts w:ascii="Cambria" w:hAnsi="Cambria"/>
          <w:lang w:val="en"/>
        </w:rPr>
        <w:t>transfer of non- re</w:t>
      </w:r>
      <w:r w:rsidR="0015107B">
        <w:rPr>
          <w:rFonts w:ascii="Cambria" w:hAnsi="Cambria"/>
          <w:lang w:val="en"/>
        </w:rPr>
        <w:t xml:space="preserve">fundable sponsorship from the </w:t>
      </w:r>
      <w:r w:rsidR="0015107B" w:rsidRPr="000D2215">
        <w:rPr>
          <w:rFonts w:ascii="Cambria" w:hAnsi="Cambria"/>
          <w:lang w:val="en"/>
        </w:rPr>
        <w:t xml:space="preserve">Parent Company </w:t>
      </w:r>
      <w:r w:rsidR="000D2215" w:rsidRPr="000D2215">
        <w:rPr>
          <w:rFonts w:ascii="Cambria" w:hAnsi="Cambria"/>
          <w:lang w:val="en"/>
        </w:rPr>
        <w:t xml:space="preserve">to the </w:t>
      </w:r>
      <w:r w:rsidR="0015107B">
        <w:rPr>
          <w:rFonts w:ascii="Cambria" w:hAnsi="Cambria"/>
          <w:lang w:val="en"/>
        </w:rPr>
        <w:t>S</w:t>
      </w:r>
      <w:r w:rsidR="000D2215" w:rsidRPr="000D2215">
        <w:rPr>
          <w:rFonts w:ascii="Cambria" w:hAnsi="Cambria"/>
          <w:lang w:val="en"/>
        </w:rPr>
        <w:t>ubsidiary will be made freely.</w:t>
      </w:r>
    </w:p>
    <w:p w14:paraId="49903AC7" w14:textId="7C541649" w:rsidR="00556E59" w:rsidRDefault="00556E59" w:rsidP="002E49A4">
      <w:pPr>
        <w:pStyle w:val="ListParagraph"/>
        <w:spacing w:after="0" w:line="242" w:lineRule="auto"/>
        <w:jc w:val="both"/>
        <w:rPr>
          <w:rFonts w:ascii="Cambria" w:hAnsi="Cambria"/>
        </w:rPr>
      </w:pPr>
    </w:p>
    <w:p w14:paraId="04EAE251" w14:textId="14AF1899" w:rsidR="00142613" w:rsidRPr="00142613" w:rsidRDefault="00090569" w:rsidP="002E49A4">
      <w:pPr>
        <w:pStyle w:val="ListParagraph"/>
        <w:numPr>
          <w:ilvl w:val="0"/>
          <w:numId w:val="8"/>
        </w:numPr>
        <w:spacing w:after="0" w:line="242" w:lineRule="auto"/>
        <w:ind w:hanging="72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lang w:val="en"/>
        </w:rPr>
        <w:t>Shall</w:t>
      </w:r>
      <w:r w:rsidR="00142613" w:rsidRPr="00142613">
        <w:rPr>
          <w:rFonts w:ascii="Cambria" w:hAnsi="Cambria"/>
          <w:b/>
          <w:bCs/>
          <w:lang w:val="en"/>
        </w:rPr>
        <w:t xml:space="preserve"> the </w:t>
      </w:r>
      <w:r w:rsidR="00142613">
        <w:rPr>
          <w:rFonts w:ascii="Cambria" w:hAnsi="Cambria"/>
          <w:b/>
          <w:bCs/>
          <w:lang w:val="en"/>
        </w:rPr>
        <w:t>non-</w:t>
      </w:r>
      <w:r>
        <w:rPr>
          <w:rFonts w:ascii="Cambria" w:hAnsi="Cambria"/>
          <w:b/>
          <w:bCs/>
          <w:lang w:val="en"/>
        </w:rPr>
        <w:t>refundable sponsorship</w:t>
      </w:r>
      <w:r w:rsidR="0079384D">
        <w:rPr>
          <w:rFonts w:ascii="Cambria" w:hAnsi="Cambria"/>
          <w:b/>
          <w:bCs/>
          <w:lang w:val="en"/>
        </w:rPr>
        <w:t xml:space="preserve"> </w:t>
      </w:r>
      <w:r w:rsidR="00142613" w:rsidRPr="00142613">
        <w:rPr>
          <w:rFonts w:ascii="Cambria" w:hAnsi="Cambria"/>
          <w:b/>
          <w:bCs/>
          <w:lang w:val="en"/>
        </w:rPr>
        <w:t xml:space="preserve">from the </w:t>
      </w:r>
      <w:r w:rsidR="006B7C09" w:rsidRPr="00142613">
        <w:rPr>
          <w:rFonts w:ascii="Cambria" w:hAnsi="Cambria"/>
          <w:b/>
          <w:bCs/>
          <w:lang w:val="en"/>
        </w:rPr>
        <w:t xml:space="preserve">Parent Company </w:t>
      </w:r>
      <w:r w:rsidR="00142613" w:rsidRPr="00142613">
        <w:rPr>
          <w:rFonts w:ascii="Cambria" w:hAnsi="Cambria"/>
          <w:b/>
          <w:bCs/>
          <w:lang w:val="en"/>
        </w:rPr>
        <w:t>to</w:t>
      </w:r>
      <w:r>
        <w:rPr>
          <w:rFonts w:ascii="Cambria" w:hAnsi="Cambria"/>
          <w:b/>
          <w:bCs/>
          <w:lang w:val="en"/>
        </w:rPr>
        <w:t xml:space="preserve"> </w:t>
      </w:r>
      <w:r w:rsidR="006B7C09">
        <w:rPr>
          <w:rFonts w:ascii="Cambria" w:hAnsi="Cambria"/>
          <w:b/>
          <w:bCs/>
          <w:lang w:val="en"/>
        </w:rPr>
        <w:t>S</w:t>
      </w:r>
      <w:r w:rsidR="00142613" w:rsidRPr="00142613">
        <w:rPr>
          <w:rFonts w:ascii="Cambria" w:hAnsi="Cambria"/>
          <w:b/>
          <w:bCs/>
          <w:lang w:val="en"/>
        </w:rPr>
        <w:t>ubsidiary be transferred to the direct investment capital account?</w:t>
      </w:r>
    </w:p>
    <w:p w14:paraId="5FDCD516" w14:textId="47024943" w:rsidR="0038512A" w:rsidRDefault="0038512A" w:rsidP="002E49A4">
      <w:pPr>
        <w:pStyle w:val="ListParagraph"/>
        <w:spacing w:after="0" w:line="242" w:lineRule="auto"/>
        <w:jc w:val="both"/>
        <w:rPr>
          <w:rFonts w:ascii="Cambria" w:hAnsi="Cambria"/>
        </w:rPr>
      </w:pPr>
    </w:p>
    <w:p w14:paraId="666C4E21" w14:textId="29C81541" w:rsidR="007F115C" w:rsidRPr="007F115C" w:rsidRDefault="00090569" w:rsidP="002E49A4">
      <w:pPr>
        <w:pStyle w:val="ListParagraph"/>
        <w:spacing w:after="0" w:line="242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Article 6.1 of Decree No. 70/2014/ND-CP stipulates that: </w:t>
      </w:r>
      <w:r w:rsidRPr="00090569">
        <w:rPr>
          <w:rFonts w:ascii="Cambria" w:hAnsi="Cambria"/>
          <w:i/>
          <w:iCs/>
        </w:rPr>
        <w:t>“Foreign currency receipts of residents as organizations earned from such transfer process must be deposited into foreign currency accounts opened at authorized credit institutions or sold to these credit institutions”</w:t>
      </w:r>
      <w:r>
        <w:rPr>
          <w:rFonts w:ascii="Cambria" w:hAnsi="Cambria"/>
        </w:rPr>
        <w:t xml:space="preserve">. At the same time, in accordance with Article 6.1 of Circular 06/2019/TT-NHNN, </w:t>
      </w:r>
      <w:r w:rsidR="007F115C">
        <w:rPr>
          <w:rFonts w:ascii="Cambria" w:hAnsi="Cambria"/>
          <w:lang w:val="en"/>
        </w:rPr>
        <w:t>t</w:t>
      </w:r>
      <w:r w:rsidR="007F115C" w:rsidRPr="007F115C">
        <w:rPr>
          <w:rFonts w:ascii="Cambria" w:hAnsi="Cambria"/>
          <w:lang w:val="en"/>
        </w:rPr>
        <w:t xml:space="preserve">he non-refundable </w:t>
      </w:r>
      <w:r w:rsidR="007F115C">
        <w:rPr>
          <w:rFonts w:ascii="Cambria" w:hAnsi="Cambria"/>
          <w:lang w:val="en"/>
        </w:rPr>
        <w:t xml:space="preserve">sponsorship </w:t>
      </w:r>
      <w:r w:rsidR="007F115C" w:rsidRPr="007F115C">
        <w:rPr>
          <w:rFonts w:ascii="Cambria" w:hAnsi="Cambria"/>
          <w:lang w:val="en"/>
        </w:rPr>
        <w:t xml:space="preserve">does not fall under the </w:t>
      </w:r>
      <w:r w:rsidR="007F115C">
        <w:rPr>
          <w:rFonts w:ascii="Cambria" w:hAnsi="Cambria"/>
          <w:lang w:val="en"/>
        </w:rPr>
        <w:t>revenue</w:t>
      </w:r>
      <w:r w:rsidR="007F115C" w:rsidRPr="007F115C">
        <w:rPr>
          <w:rFonts w:ascii="Cambria" w:hAnsi="Cambria"/>
          <w:lang w:val="en"/>
        </w:rPr>
        <w:t xml:space="preserve"> transactions that must be made through the direct investment capital account</w:t>
      </w:r>
      <w:r w:rsidR="007F115C">
        <w:rPr>
          <w:rFonts w:ascii="Cambria" w:hAnsi="Cambria"/>
          <w:lang w:val="en"/>
        </w:rPr>
        <w:t>s in foreign currencies.</w:t>
      </w:r>
    </w:p>
    <w:p w14:paraId="19509D64" w14:textId="63FE4172" w:rsidR="00090569" w:rsidRDefault="00090569" w:rsidP="002E49A4">
      <w:pPr>
        <w:pStyle w:val="ListParagraph"/>
        <w:spacing w:after="0" w:line="242" w:lineRule="auto"/>
        <w:jc w:val="both"/>
        <w:rPr>
          <w:rFonts w:ascii="Cambria" w:hAnsi="Cambria"/>
        </w:rPr>
      </w:pPr>
    </w:p>
    <w:p w14:paraId="592D618A" w14:textId="4D160327" w:rsidR="00E56B15" w:rsidRDefault="007F115C" w:rsidP="002E49A4">
      <w:pPr>
        <w:pStyle w:val="ListParagraph"/>
        <w:spacing w:after="0" w:line="242" w:lineRule="auto"/>
        <w:jc w:val="both"/>
        <w:rPr>
          <w:rFonts w:ascii="Cambria" w:hAnsi="Cambria"/>
          <w:lang w:val="en"/>
        </w:rPr>
      </w:pPr>
      <w:r w:rsidRPr="007F115C">
        <w:rPr>
          <w:rFonts w:ascii="Cambria" w:hAnsi="Cambria"/>
          <w:lang w:val="en"/>
        </w:rPr>
        <w:t>From the</w:t>
      </w:r>
      <w:r>
        <w:rPr>
          <w:rFonts w:ascii="Cambria" w:hAnsi="Cambria"/>
          <w:lang w:val="en"/>
        </w:rPr>
        <w:t xml:space="preserve"> light of the above</w:t>
      </w:r>
      <w:r w:rsidRPr="007F115C">
        <w:rPr>
          <w:rFonts w:ascii="Cambria" w:hAnsi="Cambria"/>
          <w:lang w:val="en"/>
        </w:rPr>
        <w:t xml:space="preserve">, </w:t>
      </w:r>
      <w:r>
        <w:rPr>
          <w:rFonts w:ascii="Cambria" w:hAnsi="Cambria"/>
          <w:lang w:val="en"/>
        </w:rPr>
        <w:t>given</w:t>
      </w:r>
      <w:r w:rsidRPr="007F115C">
        <w:rPr>
          <w:rFonts w:ascii="Cambria" w:hAnsi="Cambria"/>
          <w:lang w:val="en"/>
        </w:rPr>
        <w:t xml:space="preserve"> that the transaction of transferring money from</w:t>
      </w:r>
      <w:r w:rsidR="006F294F">
        <w:rPr>
          <w:rFonts w:ascii="Cambria" w:hAnsi="Cambria"/>
          <w:lang w:val="en"/>
        </w:rPr>
        <w:t xml:space="preserve"> </w:t>
      </w:r>
      <w:r w:rsidR="006B7C09">
        <w:rPr>
          <w:rFonts w:ascii="Cambria" w:hAnsi="Cambria"/>
          <w:lang w:val="en"/>
        </w:rPr>
        <w:t xml:space="preserve">the </w:t>
      </w:r>
      <w:r w:rsidR="006B7C09" w:rsidRPr="007F115C">
        <w:rPr>
          <w:rFonts w:ascii="Cambria" w:hAnsi="Cambria"/>
          <w:lang w:val="en"/>
        </w:rPr>
        <w:t xml:space="preserve">Parent Company </w:t>
      </w:r>
      <w:r w:rsidRPr="007F115C">
        <w:rPr>
          <w:rFonts w:ascii="Cambria" w:hAnsi="Cambria"/>
          <w:lang w:val="en"/>
        </w:rPr>
        <w:t>to</w:t>
      </w:r>
      <w:r w:rsidR="006B7C09">
        <w:rPr>
          <w:rFonts w:ascii="Cambria" w:hAnsi="Cambria"/>
          <w:lang w:val="en"/>
        </w:rPr>
        <w:t xml:space="preserve"> the S</w:t>
      </w:r>
      <w:r w:rsidRPr="007F115C">
        <w:rPr>
          <w:rFonts w:ascii="Cambria" w:hAnsi="Cambria"/>
          <w:lang w:val="en"/>
        </w:rPr>
        <w:t>ubsidiary is a current transaction (one-way money transfer from abroad to Vietnam). Therefore,</w:t>
      </w:r>
      <w:r>
        <w:rPr>
          <w:rFonts w:ascii="Cambria" w:hAnsi="Cambria"/>
          <w:lang w:val="en"/>
        </w:rPr>
        <w:t xml:space="preserve"> such non-refundable sponsorship </w:t>
      </w:r>
      <w:r w:rsidR="00FE0B93">
        <w:rPr>
          <w:rFonts w:ascii="Cambria" w:hAnsi="Cambria"/>
          <w:lang w:val="en"/>
        </w:rPr>
        <w:t xml:space="preserve">from the </w:t>
      </w:r>
      <w:r w:rsidR="00931445" w:rsidRPr="007F115C">
        <w:rPr>
          <w:rFonts w:ascii="Cambria" w:hAnsi="Cambria"/>
          <w:lang w:val="en"/>
        </w:rPr>
        <w:t xml:space="preserve">Parent Company </w:t>
      </w:r>
      <w:r w:rsidRPr="007F115C">
        <w:rPr>
          <w:rFonts w:ascii="Cambria" w:hAnsi="Cambria"/>
          <w:lang w:val="en"/>
        </w:rPr>
        <w:t xml:space="preserve">must not be transferred to the direct investment capital account of the </w:t>
      </w:r>
      <w:proofErr w:type="gramStart"/>
      <w:r w:rsidR="00931445">
        <w:rPr>
          <w:rFonts w:ascii="Cambria" w:hAnsi="Cambria"/>
          <w:lang w:val="en"/>
        </w:rPr>
        <w:t>S</w:t>
      </w:r>
      <w:r w:rsidRPr="007F115C">
        <w:rPr>
          <w:rFonts w:ascii="Cambria" w:hAnsi="Cambria"/>
          <w:lang w:val="en"/>
        </w:rPr>
        <w:t>ubsidiary, but</w:t>
      </w:r>
      <w:proofErr w:type="gramEnd"/>
      <w:r w:rsidRPr="007F115C">
        <w:rPr>
          <w:rFonts w:ascii="Cambria" w:hAnsi="Cambria"/>
          <w:lang w:val="en"/>
        </w:rPr>
        <w:t xml:space="preserve"> must be transferred to a foreign currency account at an authorized credit institution. The opening and use of foreign currency accounts will be implemented in accordance with Circular 34/2015/TT-NHNN</w:t>
      </w:r>
      <w:r w:rsidR="00FE0B93">
        <w:rPr>
          <w:rFonts w:ascii="Cambria" w:hAnsi="Cambria"/>
          <w:lang w:val="en"/>
        </w:rPr>
        <w:t>.</w:t>
      </w:r>
    </w:p>
    <w:p w14:paraId="0620DF72" w14:textId="77777777" w:rsidR="00FE0B93" w:rsidRDefault="00FE0B93" w:rsidP="002E49A4">
      <w:pPr>
        <w:pStyle w:val="ListParagraph"/>
        <w:spacing w:after="0" w:line="242" w:lineRule="auto"/>
        <w:jc w:val="both"/>
        <w:rPr>
          <w:rFonts w:ascii="Cambria" w:hAnsi="Cambria"/>
        </w:rPr>
      </w:pPr>
    </w:p>
    <w:p w14:paraId="592EC202" w14:textId="42477FA7" w:rsidR="007E346F" w:rsidRPr="00744AD6" w:rsidRDefault="00366275" w:rsidP="002E49A4">
      <w:pPr>
        <w:pStyle w:val="ListParagraph"/>
        <w:numPr>
          <w:ilvl w:val="0"/>
          <w:numId w:val="8"/>
        </w:numPr>
        <w:spacing w:after="0" w:line="242" w:lineRule="auto"/>
        <w:ind w:hanging="720"/>
        <w:jc w:val="both"/>
        <w:rPr>
          <w:rFonts w:ascii="Cambria" w:hAnsi="Cambria"/>
          <w:b/>
        </w:rPr>
      </w:pPr>
      <w:r>
        <w:rPr>
          <w:rFonts w:ascii="Cambria" w:hAnsi="Cambria"/>
          <w:b/>
          <w:lang w:val="en"/>
        </w:rPr>
        <w:t>Tax r</w:t>
      </w:r>
      <w:r w:rsidR="00FE0B93">
        <w:rPr>
          <w:rFonts w:ascii="Cambria" w:hAnsi="Cambria"/>
          <w:b/>
          <w:lang w:val="en"/>
        </w:rPr>
        <w:t xml:space="preserve">egulations </w:t>
      </w:r>
      <w:r w:rsidR="00FE0B93" w:rsidRPr="00FE0B93">
        <w:rPr>
          <w:rFonts w:ascii="Cambria" w:hAnsi="Cambria"/>
          <w:b/>
          <w:lang w:val="en"/>
        </w:rPr>
        <w:t xml:space="preserve">on non-refundable sponsorship </w:t>
      </w:r>
      <w:r w:rsidR="00744AD6">
        <w:rPr>
          <w:rFonts w:ascii="Cambria" w:hAnsi="Cambria"/>
          <w:b/>
          <w:lang w:val="en"/>
        </w:rPr>
        <w:t xml:space="preserve">from </w:t>
      </w:r>
      <w:r w:rsidR="00931445">
        <w:rPr>
          <w:rFonts w:ascii="Cambria" w:hAnsi="Cambria"/>
          <w:b/>
          <w:lang w:val="en"/>
        </w:rPr>
        <w:t>the Parent C</w:t>
      </w:r>
      <w:r w:rsidR="00931445" w:rsidRPr="00FE0B93">
        <w:rPr>
          <w:rFonts w:ascii="Cambria" w:hAnsi="Cambria"/>
          <w:b/>
          <w:lang w:val="en"/>
        </w:rPr>
        <w:t xml:space="preserve">ompany </w:t>
      </w:r>
      <w:r w:rsidR="00744AD6">
        <w:rPr>
          <w:rFonts w:ascii="Cambria" w:hAnsi="Cambria"/>
          <w:b/>
          <w:lang w:val="en"/>
        </w:rPr>
        <w:t xml:space="preserve">to </w:t>
      </w:r>
      <w:r w:rsidR="00931445">
        <w:rPr>
          <w:rFonts w:ascii="Cambria" w:hAnsi="Cambria"/>
          <w:b/>
          <w:lang w:val="en"/>
        </w:rPr>
        <w:t>the S</w:t>
      </w:r>
      <w:r w:rsidR="00744AD6">
        <w:rPr>
          <w:rFonts w:ascii="Cambria" w:hAnsi="Cambria"/>
          <w:b/>
          <w:lang w:val="en"/>
        </w:rPr>
        <w:t>ubsidiary</w:t>
      </w:r>
      <w:r>
        <w:rPr>
          <w:rFonts w:ascii="Cambria" w:hAnsi="Cambria"/>
          <w:b/>
          <w:lang w:val="en"/>
        </w:rPr>
        <w:t>.</w:t>
      </w:r>
    </w:p>
    <w:p w14:paraId="6C5776B4" w14:textId="77777777" w:rsidR="00744AD6" w:rsidRPr="00744AD6" w:rsidRDefault="00744AD6" w:rsidP="002E49A4">
      <w:pPr>
        <w:pStyle w:val="ListParagraph"/>
        <w:spacing w:after="0" w:line="242" w:lineRule="auto"/>
        <w:jc w:val="both"/>
        <w:rPr>
          <w:rFonts w:ascii="Cambria" w:hAnsi="Cambria"/>
          <w:b/>
        </w:rPr>
      </w:pPr>
    </w:p>
    <w:p w14:paraId="71D5BB50" w14:textId="4BF90288" w:rsidR="007206AA" w:rsidRDefault="00744AD6" w:rsidP="002E49A4">
      <w:pPr>
        <w:pStyle w:val="ListParagraph"/>
        <w:numPr>
          <w:ilvl w:val="0"/>
          <w:numId w:val="5"/>
        </w:numPr>
        <w:spacing w:after="0" w:line="242" w:lineRule="auto"/>
        <w:ind w:left="1440" w:hanging="72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Value Added Tax</w:t>
      </w:r>
      <w:r w:rsidR="0064503A">
        <w:rPr>
          <w:rFonts w:ascii="Cambria" w:hAnsi="Cambria"/>
          <w:b/>
        </w:rPr>
        <w:t xml:space="preserve"> (</w:t>
      </w:r>
      <w:r w:rsidR="00761E5B">
        <w:rPr>
          <w:rFonts w:ascii="Cambria" w:hAnsi="Cambria"/>
          <w:b/>
        </w:rPr>
        <w:t>“</w:t>
      </w:r>
      <w:r>
        <w:rPr>
          <w:rFonts w:ascii="Cambria" w:hAnsi="Cambria"/>
          <w:b/>
        </w:rPr>
        <w:t>VAT</w:t>
      </w:r>
      <w:r w:rsidR="00761E5B">
        <w:rPr>
          <w:rFonts w:ascii="Cambria" w:hAnsi="Cambria"/>
          <w:b/>
        </w:rPr>
        <w:t>”</w:t>
      </w:r>
      <w:r w:rsidR="0064503A">
        <w:rPr>
          <w:rFonts w:ascii="Cambria" w:hAnsi="Cambria"/>
          <w:b/>
        </w:rPr>
        <w:t>)</w:t>
      </w:r>
    </w:p>
    <w:p w14:paraId="2F7FDE2E" w14:textId="77777777" w:rsidR="007206AA" w:rsidRDefault="007206AA" w:rsidP="002E49A4">
      <w:pPr>
        <w:pStyle w:val="ListParagraph"/>
        <w:spacing w:after="0" w:line="242" w:lineRule="auto"/>
        <w:jc w:val="both"/>
        <w:rPr>
          <w:rFonts w:ascii="Cambria" w:hAnsi="Cambria"/>
          <w:b/>
        </w:rPr>
      </w:pPr>
    </w:p>
    <w:p w14:paraId="264418DF" w14:textId="6543E105" w:rsidR="00744AD6" w:rsidRDefault="00744AD6" w:rsidP="002E49A4">
      <w:pPr>
        <w:pStyle w:val="ListParagraph"/>
        <w:spacing w:after="0" w:line="242" w:lineRule="auto"/>
        <w:ind w:left="1440"/>
        <w:jc w:val="both"/>
        <w:rPr>
          <w:rFonts w:ascii="Cambria" w:hAnsi="Cambria"/>
          <w:lang w:val="en"/>
        </w:rPr>
      </w:pPr>
      <w:r w:rsidRPr="00744AD6">
        <w:rPr>
          <w:rFonts w:ascii="Cambria" w:hAnsi="Cambria"/>
          <w:lang w:val="en"/>
        </w:rPr>
        <w:t xml:space="preserve">The obligation to declare and pay VAT of </w:t>
      </w:r>
      <w:r w:rsidR="009D78A7">
        <w:rPr>
          <w:rFonts w:ascii="Cambria" w:hAnsi="Cambria"/>
          <w:lang w:val="en"/>
        </w:rPr>
        <w:t>the S</w:t>
      </w:r>
      <w:r w:rsidRPr="00744AD6">
        <w:rPr>
          <w:rFonts w:ascii="Cambria" w:hAnsi="Cambria"/>
          <w:lang w:val="en"/>
        </w:rPr>
        <w:t xml:space="preserve">ubsidiary when receiving a non-refundable </w:t>
      </w:r>
      <w:r w:rsidR="00653BD6">
        <w:rPr>
          <w:rFonts w:ascii="Cambria" w:hAnsi="Cambria"/>
          <w:lang w:val="en"/>
        </w:rPr>
        <w:t xml:space="preserve">sponsorship </w:t>
      </w:r>
      <w:r w:rsidRPr="00744AD6">
        <w:rPr>
          <w:rFonts w:ascii="Cambria" w:hAnsi="Cambria"/>
          <w:lang w:val="en"/>
        </w:rPr>
        <w:t xml:space="preserve">from </w:t>
      </w:r>
      <w:r w:rsidR="00653BD6">
        <w:rPr>
          <w:rFonts w:ascii="Cambria" w:hAnsi="Cambria"/>
          <w:lang w:val="en"/>
        </w:rPr>
        <w:t>its</w:t>
      </w:r>
      <w:r w:rsidRPr="00744AD6">
        <w:rPr>
          <w:rFonts w:ascii="Cambria" w:hAnsi="Cambria"/>
          <w:lang w:val="en"/>
        </w:rPr>
        <w:t xml:space="preserve"> </w:t>
      </w:r>
      <w:r w:rsidR="009D78A7" w:rsidRPr="00744AD6">
        <w:rPr>
          <w:rFonts w:ascii="Cambria" w:hAnsi="Cambria"/>
          <w:lang w:val="en"/>
        </w:rPr>
        <w:t xml:space="preserve">Parent Company </w:t>
      </w:r>
      <w:r w:rsidRPr="00744AD6">
        <w:rPr>
          <w:rFonts w:ascii="Cambria" w:hAnsi="Cambria"/>
          <w:lang w:val="en"/>
        </w:rPr>
        <w:t xml:space="preserve">will be determined in the following two </w:t>
      </w:r>
      <w:r w:rsidR="00653BD6">
        <w:rPr>
          <w:rFonts w:ascii="Cambria" w:hAnsi="Cambria"/>
          <w:lang w:val="en"/>
        </w:rPr>
        <w:t>scenario</w:t>
      </w:r>
      <w:r w:rsidRPr="00744AD6">
        <w:rPr>
          <w:rFonts w:ascii="Cambria" w:hAnsi="Cambria"/>
          <w:lang w:val="en"/>
        </w:rPr>
        <w:t xml:space="preserve">s </w:t>
      </w:r>
      <w:r w:rsidRPr="00744AD6">
        <w:rPr>
          <w:rFonts w:ascii="Cambria" w:hAnsi="Cambria"/>
          <w:i/>
          <w:iCs/>
          <w:lang w:val="en"/>
        </w:rPr>
        <w:t xml:space="preserve">(Circular </w:t>
      </w:r>
      <w:r w:rsidR="00653BD6" w:rsidRPr="00653BD6">
        <w:rPr>
          <w:rFonts w:ascii="Cambria" w:hAnsi="Cambria"/>
          <w:i/>
          <w:iCs/>
          <w:lang w:val="en"/>
        </w:rPr>
        <w:t xml:space="preserve">No. </w:t>
      </w:r>
      <w:r w:rsidRPr="00744AD6">
        <w:rPr>
          <w:rFonts w:ascii="Cambria" w:hAnsi="Cambria"/>
          <w:i/>
          <w:iCs/>
          <w:lang w:val="en"/>
        </w:rPr>
        <w:t xml:space="preserve">219/2013/TT-BTC, and </w:t>
      </w:r>
      <w:r w:rsidR="00653BD6" w:rsidRPr="00653BD6">
        <w:rPr>
          <w:rFonts w:ascii="Cambria" w:hAnsi="Cambria"/>
          <w:i/>
          <w:iCs/>
          <w:lang w:val="en"/>
        </w:rPr>
        <w:t xml:space="preserve">the </w:t>
      </w:r>
      <w:r w:rsidRPr="00744AD6">
        <w:rPr>
          <w:rFonts w:ascii="Cambria" w:hAnsi="Cambria"/>
          <w:i/>
          <w:iCs/>
          <w:lang w:val="en"/>
        </w:rPr>
        <w:t xml:space="preserve">Official </w:t>
      </w:r>
      <w:bookmarkStart w:id="0" w:name="_Hlk100912275"/>
      <w:r w:rsidRPr="00744AD6">
        <w:rPr>
          <w:rFonts w:ascii="Cambria" w:hAnsi="Cambria"/>
          <w:i/>
          <w:iCs/>
          <w:lang w:val="en"/>
        </w:rPr>
        <w:t>Letter</w:t>
      </w:r>
      <w:r w:rsidR="00653BD6" w:rsidRPr="00653BD6">
        <w:rPr>
          <w:rFonts w:ascii="Cambria" w:hAnsi="Cambria"/>
          <w:i/>
          <w:iCs/>
          <w:lang w:val="en"/>
        </w:rPr>
        <w:t xml:space="preserve"> No.</w:t>
      </w:r>
      <w:r w:rsidRPr="00744AD6">
        <w:rPr>
          <w:rFonts w:ascii="Cambria" w:hAnsi="Cambria"/>
          <w:i/>
          <w:iCs/>
          <w:lang w:val="en"/>
        </w:rPr>
        <w:t xml:space="preserve"> 1070/CTHN-TTHT</w:t>
      </w:r>
      <w:bookmarkEnd w:id="0"/>
      <w:r w:rsidRPr="00744AD6">
        <w:rPr>
          <w:rFonts w:ascii="Cambria" w:hAnsi="Cambria"/>
          <w:i/>
          <w:iCs/>
          <w:lang w:val="en"/>
        </w:rPr>
        <w:t>)</w:t>
      </w:r>
      <w:r w:rsidRPr="00744AD6">
        <w:rPr>
          <w:rFonts w:ascii="Cambria" w:hAnsi="Cambria"/>
          <w:lang w:val="en"/>
        </w:rPr>
        <w:t>:</w:t>
      </w:r>
      <w:r>
        <w:rPr>
          <w:rFonts w:ascii="Cambria" w:hAnsi="Cambria"/>
          <w:lang w:val="en"/>
        </w:rPr>
        <w:t xml:space="preserve"> </w:t>
      </w:r>
    </w:p>
    <w:p w14:paraId="6DF91512" w14:textId="77777777" w:rsidR="00744AD6" w:rsidRDefault="00744AD6" w:rsidP="002E49A4">
      <w:pPr>
        <w:pStyle w:val="ListParagraph"/>
        <w:spacing w:after="0" w:line="242" w:lineRule="auto"/>
        <w:jc w:val="both"/>
        <w:rPr>
          <w:rFonts w:ascii="Cambria" w:hAnsi="Cambria"/>
        </w:rPr>
      </w:pPr>
    </w:p>
    <w:p w14:paraId="74F6DD4E" w14:textId="024F8EAC" w:rsidR="000F7D47" w:rsidRPr="00056516" w:rsidRDefault="00056516" w:rsidP="002E49A4">
      <w:pPr>
        <w:pStyle w:val="ListParagraph"/>
        <w:numPr>
          <w:ilvl w:val="0"/>
          <w:numId w:val="9"/>
        </w:numPr>
        <w:spacing w:after="0" w:line="242" w:lineRule="auto"/>
        <w:ind w:left="2160" w:hanging="720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Scenario</w:t>
      </w:r>
      <w:r w:rsidR="00573F0A" w:rsidRPr="00621797">
        <w:rPr>
          <w:rFonts w:ascii="Cambria" w:hAnsi="Cambria"/>
          <w:b/>
          <w:bCs/>
        </w:rPr>
        <w:t xml:space="preserve"> </w:t>
      </w:r>
      <w:r w:rsidR="000F7D47" w:rsidRPr="00621797">
        <w:rPr>
          <w:rFonts w:ascii="Cambria" w:hAnsi="Cambria"/>
          <w:b/>
          <w:bCs/>
        </w:rPr>
        <w:t>1:</w:t>
      </w:r>
      <w:r w:rsidR="000F7D47">
        <w:rPr>
          <w:rFonts w:ascii="Cambria" w:hAnsi="Cambria"/>
        </w:rPr>
        <w:t xml:space="preserve"> </w:t>
      </w:r>
      <w:bookmarkStart w:id="1" w:name="_Hlk100912314"/>
      <w:r w:rsidR="000C5859">
        <w:rPr>
          <w:rFonts w:ascii="Cambria" w:hAnsi="Cambria"/>
        </w:rPr>
        <w:t>exemp</w:t>
      </w:r>
      <w:r w:rsidR="0079384D">
        <w:rPr>
          <w:rFonts w:ascii="Cambria" w:hAnsi="Cambria"/>
        </w:rPr>
        <w:t>t</w:t>
      </w:r>
      <w:r w:rsidR="000C5859">
        <w:rPr>
          <w:rFonts w:ascii="Cambria" w:hAnsi="Cambria"/>
        </w:rPr>
        <w:t xml:space="preserve"> from </w:t>
      </w:r>
      <w:r w:rsidRPr="00056516">
        <w:rPr>
          <w:rFonts w:ascii="Cambria" w:hAnsi="Cambria"/>
          <w:lang w:val="en"/>
        </w:rPr>
        <w:t>VAT</w:t>
      </w:r>
      <w:bookmarkEnd w:id="1"/>
    </w:p>
    <w:p w14:paraId="577B47B2" w14:textId="77777777" w:rsidR="004B67D3" w:rsidRPr="00621797" w:rsidRDefault="004B67D3" w:rsidP="002E49A4">
      <w:pPr>
        <w:pStyle w:val="ListParagraph"/>
        <w:spacing w:after="0" w:line="242" w:lineRule="auto"/>
        <w:ind w:left="1080"/>
        <w:jc w:val="both"/>
        <w:rPr>
          <w:rFonts w:ascii="Cambria" w:hAnsi="Cambria"/>
          <w:b/>
        </w:rPr>
      </w:pPr>
    </w:p>
    <w:p w14:paraId="0A88D737" w14:textId="0DD39863" w:rsidR="00056516" w:rsidRPr="00056516" w:rsidRDefault="00056516" w:rsidP="002E49A4">
      <w:pPr>
        <w:pStyle w:val="ListParagraph"/>
        <w:spacing w:after="0" w:line="242" w:lineRule="auto"/>
        <w:ind w:left="2160"/>
        <w:jc w:val="both"/>
        <w:rPr>
          <w:rFonts w:ascii="Cambria" w:hAnsi="Cambria"/>
        </w:rPr>
      </w:pPr>
      <w:r>
        <w:rPr>
          <w:rFonts w:ascii="Cambria" w:hAnsi="Cambria"/>
          <w:lang w:val="en"/>
        </w:rPr>
        <w:t>Pursuant</w:t>
      </w:r>
      <w:r w:rsidRPr="00056516">
        <w:rPr>
          <w:rFonts w:ascii="Cambria" w:hAnsi="Cambria"/>
          <w:lang w:val="en"/>
        </w:rPr>
        <w:t xml:space="preserve"> to Article 5</w:t>
      </w:r>
      <w:r>
        <w:rPr>
          <w:rFonts w:ascii="Cambria" w:hAnsi="Cambria"/>
          <w:lang w:val="en"/>
        </w:rPr>
        <w:t>.1</w:t>
      </w:r>
      <w:r w:rsidRPr="00056516">
        <w:rPr>
          <w:rFonts w:ascii="Cambria" w:hAnsi="Cambria"/>
          <w:lang w:val="en"/>
        </w:rPr>
        <w:t xml:space="preserve"> of Circular 219/2013/TT-BTC, </w:t>
      </w:r>
      <w:r>
        <w:rPr>
          <w:rFonts w:ascii="Cambria" w:hAnsi="Cambria"/>
          <w:lang w:val="en"/>
        </w:rPr>
        <w:t>in case</w:t>
      </w:r>
      <w:r w:rsidRPr="00056516">
        <w:rPr>
          <w:rFonts w:ascii="Cambria" w:hAnsi="Cambria"/>
          <w:lang w:val="en"/>
        </w:rPr>
        <w:t xml:space="preserve"> this non-refundable </w:t>
      </w:r>
      <w:r>
        <w:rPr>
          <w:rFonts w:ascii="Cambria" w:hAnsi="Cambria"/>
          <w:lang w:val="en"/>
        </w:rPr>
        <w:t xml:space="preserve">sponsorship </w:t>
      </w:r>
      <w:r w:rsidRPr="00056516">
        <w:rPr>
          <w:rFonts w:ascii="Cambria" w:hAnsi="Cambria"/>
          <w:lang w:val="en"/>
        </w:rPr>
        <w:t>is determined to be a</w:t>
      </w:r>
      <w:r>
        <w:rPr>
          <w:rFonts w:ascii="Cambria" w:hAnsi="Cambria"/>
          <w:lang w:val="en"/>
        </w:rPr>
        <w:t>n all</w:t>
      </w:r>
      <w:r w:rsidR="00A10311">
        <w:rPr>
          <w:rFonts w:ascii="Cambria" w:hAnsi="Cambria"/>
          <w:lang w:val="en"/>
        </w:rPr>
        <w:t>owance</w:t>
      </w:r>
      <w:r w:rsidRPr="00056516">
        <w:rPr>
          <w:rFonts w:ascii="Cambria" w:hAnsi="Cambria"/>
          <w:lang w:val="en"/>
        </w:rPr>
        <w:t xml:space="preserve"> from the </w:t>
      </w:r>
      <w:r w:rsidR="0080714D" w:rsidRPr="00056516">
        <w:rPr>
          <w:rFonts w:ascii="Cambria" w:hAnsi="Cambria"/>
          <w:lang w:val="en"/>
        </w:rPr>
        <w:t>Parent Company</w:t>
      </w:r>
      <w:r w:rsidRPr="00056516">
        <w:rPr>
          <w:rFonts w:ascii="Cambria" w:hAnsi="Cambria"/>
          <w:lang w:val="en"/>
        </w:rPr>
        <w:t xml:space="preserve">, it will not be required to declare and pay </w:t>
      </w:r>
      <w:proofErr w:type="gramStart"/>
      <w:r w:rsidRPr="00056516">
        <w:rPr>
          <w:rFonts w:ascii="Cambria" w:hAnsi="Cambria"/>
          <w:lang w:val="en"/>
        </w:rPr>
        <w:t>VAT</w:t>
      </w:r>
      <w:r w:rsidR="00545609">
        <w:rPr>
          <w:rFonts w:ascii="Cambria" w:hAnsi="Cambria"/>
          <w:lang w:val="en"/>
        </w:rPr>
        <w:t>,</w:t>
      </w:r>
      <w:r w:rsidRPr="00056516">
        <w:rPr>
          <w:rFonts w:ascii="Cambria" w:hAnsi="Cambria"/>
          <w:lang w:val="en"/>
        </w:rPr>
        <w:t xml:space="preserve"> </w:t>
      </w:r>
      <w:r w:rsidR="00545609" w:rsidRPr="00545609">
        <w:rPr>
          <w:rFonts w:ascii="Cambria" w:hAnsi="Cambria"/>
          <w:lang w:val="en"/>
        </w:rPr>
        <w:t>but</w:t>
      </w:r>
      <w:proofErr w:type="gramEnd"/>
      <w:r w:rsidR="00545609" w:rsidRPr="00545609">
        <w:rPr>
          <w:rFonts w:ascii="Cambria" w:hAnsi="Cambria"/>
          <w:lang w:val="en"/>
        </w:rPr>
        <w:t xml:space="preserve"> must make a rec</w:t>
      </w:r>
      <w:r w:rsidR="00545609">
        <w:rPr>
          <w:rFonts w:ascii="Cambria" w:hAnsi="Cambria"/>
          <w:lang w:val="en"/>
        </w:rPr>
        <w:t>eipt when receiving this amount</w:t>
      </w:r>
      <w:r w:rsidRPr="00056516">
        <w:rPr>
          <w:rFonts w:ascii="Cambria" w:hAnsi="Cambria"/>
          <w:lang w:val="en"/>
        </w:rPr>
        <w:t xml:space="preserve"> according to the provisions of the Accounting Law </w:t>
      </w:r>
      <w:r w:rsidR="00A10311">
        <w:rPr>
          <w:rFonts w:ascii="Cambria" w:hAnsi="Cambria"/>
          <w:lang w:val="en"/>
        </w:rPr>
        <w:t xml:space="preserve">2015 </w:t>
      </w:r>
      <w:r w:rsidRPr="00056516">
        <w:rPr>
          <w:rFonts w:ascii="Cambria" w:hAnsi="Cambria"/>
          <w:lang w:val="en"/>
        </w:rPr>
        <w:t xml:space="preserve">and Circular </w:t>
      </w:r>
      <w:r w:rsidR="00A10311">
        <w:rPr>
          <w:rFonts w:ascii="Cambria" w:hAnsi="Cambria"/>
          <w:lang w:val="en"/>
        </w:rPr>
        <w:lastRenderedPageBreak/>
        <w:t xml:space="preserve">No. </w:t>
      </w:r>
      <w:r w:rsidRPr="00056516">
        <w:rPr>
          <w:rFonts w:ascii="Cambria" w:hAnsi="Cambria"/>
          <w:lang w:val="en"/>
        </w:rPr>
        <w:t xml:space="preserve">200/2014/TT-BTC. In </w:t>
      </w:r>
      <w:r w:rsidR="00A10311">
        <w:rPr>
          <w:rFonts w:ascii="Cambria" w:hAnsi="Cambria"/>
          <w:lang w:val="en"/>
        </w:rPr>
        <w:t>the circumstance where</w:t>
      </w:r>
      <w:r w:rsidRPr="00056516">
        <w:rPr>
          <w:rFonts w:ascii="Cambria" w:hAnsi="Cambria"/>
          <w:lang w:val="en"/>
        </w:rPr>
        <w:t xml:space="preserve"> a subsidiary is determined to be a small and medium-sized enterprise according to the criteria </w:t>
      </w:r>
      <w:r w:rsidR="00A10311">
        <w:rPr>
          <w:rFonts w:ascii="Cambria" w:hAnsi="Cambria"/>
          <w:lang w:val="en"/>
        </w:rPr>
        <w:t>under</w:t>
      </w:r>
      <w:r w:rsidRPr="00056516">
        <w:rPr>
          <w:rFonts w:ascii="Cambria" w:hAnsi="Cambria"/>
          <w:lang w:val="en"/>
        </w:rPr>
        <w:t xml:space="preserve"> Article 5 of Decree 80/2021/ND-CP, it will prepare receipts in accordance with the provisions of the Accounting Law </w:t>
      </w:r>
      <w:r w:rsidR="00A10311">
        <w:rPr>
          <w:rFonts w:ascii="Cambria" w:hAnsi="Cambria"/>
          <w:lang w:val="en"/>
        </w:rPr>
        <w:t xml:space="preserve">2015 </w:t>
      </w:r>
      <w:r w:rsidRPr="00056516">
        <w:rPr>
          <w:rFonts w:ascii="Cambria" w:hAnsi="Cambria"/>
          <w:lang w:val="en"/>
        </w:rPr>
        <w:t xml:space="preserve">and Circular </w:t>
      </w:r>
      <w:r w:rsidR="00A10311">
        <w:rPr>
          <w:rFonts w:ascii="Cambria" w:hAnsi="Cambria"/>
          <w:lang w:val="en"/>
        </w:rPr>
        <w:t xml:space="preserve">No. </w:t>
      </w:r>
      <w:r w:rsidRPr="00056516">
        <w:rPr>
          <w:rFonts w:ascii="Cambria" w:hAnsi="Cambria"/>
          <w:lang w:val="en"/>
        </w:rPr>
        <w:t>133. 2016/TT-BTC</w:t>
      </w:r>
      <w:r w:rsidR="00A10311">
        <w:rPr>
          <w:rFonts w:ascii="Cambria" w:hAnsi="Cambria"/>
          <w:lang w:val="en"/>
        </w:rPr>
        <w:t>.</w:t>
      </w:r>
    </w:p>
    <w:p w14:paraId="0F81B50C" w14:textId="77777777" w:rsidR="007206AA" w:rsidRDefault="007206AA" w:rsidP="002E49A4">
      <w:pPr>
        <w:pStyle w:val="ListParagraph"/>
        <w:spacing w:after="0" w:line="242" w:lineRule="auto"/>
        <w:ind w:left="1080"/>
        <w:jc w:val="both"/>
        <w:rPr>
          <w:rFonts w:ascii="Cambria" w:hAnsi="Cambria"/>
          <w:b/>
        </w:rPr>
      </w:pPr>
    </w:p>
    <w:p w14:paraId="2864F991" w14:textId="5F4A1F19" w:rsidR="000F7D47" w:rsidRPr="00A10311" w:rsidRDefault="00A10311" w:rsidP="002E49A4">
      <w:pPr>
        <w:pStyle w:val="ListParagraph"/>
        <w:numPr>
          <w:ilvl w:val="0"/>
          <w:numId w:val="9"/>
        </w:numPr>
        <w:spacing w:after="0" w:line="242" w:lineRule="auto"/>
        <w:ind w:left="2160" w:hanging="720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Scenario</w:t>
      </w:r>
      <w:r w:rsidR="00573F0A" w:rsidRPr="00621797">
        <w:rPr>
          <w:rFonts w:ascii="Cambria" w:hAnsi="Cambria"/>
          <w:b/>
          <w:bCs/>
        </w:rPr>
        <w:t xml:space="preserve"> </w:t>
      </w:r>
      <w:r w:rsidR="000F7D47" w:rsidRPr="00621797">
        <w:rPr>
          <w:rFonts w:ascii="Cambria" w:hAnsi="Cambria"/>
          <w:b/>
          <w:bCs/>
        </w:rPr>
        <w:t>2:</w:t>
      </w:r>
      <w:r w:rsidR="000F7D47">
        <w:rPr>
          <w:rFonts w:ascii="Cambria" w:hAnsi="Cambria"/>
        </w:rPr>
        <w:t xml:space="preserve"> </w:t>
      </w:r>
      <w:bookmarkStart w:id="2" w:name="_Hlk100913123"/>
      <w:r w:rsidR="000C5859">
        <w:rPr>
          <w:rFonts w:ascii="Cambria" w:hAnsi="Cambria"/>
        </w:rPr>
        <w:t>non</w:t>
      </w:r>
      <w:r w:rsidR="002C1E68">
        <w:rPr>
          <w:rFonts w:ascii="Cambria" w:hAnsi="Cambria"/>
        </w:rPr>
        <w:t>-</w:t>
      </w:r>
      <w:r w:rsidR="000C5859" w:rsidRPr="0079384D">
        <w:rPr>
          <w:rFonts w:ascii="Cambria" w:hAnsi="Cambria"/>
          <w:bCs/>
        </w:rPr>
        <w:t>exempt</w:t>
      </w:r>
      <w:r w:rsidR="000C5859" w:rsidRPr="000C5859">
        <w:rPr>
          <w:rFonts w:ascii="Cambria" w:hAnsi="Cambria"/>
        </w:rPr>
        <w:t xml:space="preserve"> </w:t>
      </w:r>
      <w:r w:rsidR="000C5859">
        <w:rPr>
          <w:rFonts w:ascii="Cambria" w:hAnsi="Cambria"/>
        </w:rPr>
        <w:t xml:space="preserve">from </w:t>
      </w:r>
      <w:r w:rsidRPr="00A10311">
        <w:rPr>
          <w:rFonts w:ascii="Cambria" w:hAnsi="Cambria"/>
          <w:lang w:val="en"/>
        </w:rPr>
        <w:t>VAT</w:t>
      </w:r>
      <w:bookmarkEnd w:id="2"/>
    </w:p>
    <w:p w14:paraId="0087D6E9" w14:textId="77777777" w:rsidR="000F7D47" w:rsidRPr="00621797" w:rsidRDefault="000F7D47" w:rsidP="002E49A4">
      <w:pPr>
        <w:pStyle w:val="ListParagraph"/>
        <w:spacing w:after="0" w:line="242" w:lineRule="auto"/>
        <w:ind w:left="1080"/>
        <w:jc w:val="both"/>
        <w:rPr>
          <w:rFonts w:ascii="Cambria" w:hAnsi="Cambria"/>
          <w:b/>
        </w:rPr>
      </w:pPr>
    </w:p>
    <w:p w14:paraId="0926D993" w14:textId="15250A26" w:rsidR="00490BD2" w:rsidRDefault="00490BD2" w:rsidP="002E49A4">
      <w:pPr>
        <w:pStyle w:val="ListParagraph"/>
        <w:spacing w:after="0" w:line="242" w:lineRule="auto"/>
        <w:ind w:left="2160"/>
        <w:jc w:val="both"/>
        <w:rPr>
          <w:rFonts w:ascii="Cambria" w:hAnsi="Cambria"/>
          <w:lang w:val="en"/>
        </w:rPr>
      </w:pPr>
      <w:r>
        <w:rPr>
          <w:rFonts w:ascii="Cambria" w:hAnsi="Cambria"/>
          <w:lang w:val="en"/>
        </w:rPr>
        <w:t xml:space="preserve">Under </w:t>
      </w:r>
      <w:r w:rsidRPr="00490BD2">
        <w:rPr>
          <w:rFonts w:ascii="Cambria" w:hAnsi="Cambria"/>
          <w:lang w:val="en"/>
        </w:rPr>
        <w:t>Article 5</w:t>
      </w:r>
      <w:r>
        <w:rPr>
          <w:rFonts w:ascii="Cambria" w:hAnsi="Cambria"/>
          <w:lang w:val="en"/>
        </w:rPr>
        <w:t>.1</w:t>
      </w:r>
      <w:r w:rsidRPr="00490BD2">
        <w:rPr>
          <w:rFonts w:ascii="Cambria" w:hAnsi="Cambria"/>
          <w:lang w:val="en"/>
        </w:rPr>
        <w:t xml:space="preserve"> of Circular </w:t>
      </w:r>
      <w:r>
        <w:rPr>
          <w:rFonts w:ascii="Cambria" w:hAnsi="Cambria"/>
          <w:lang w:val="en"/>
        </w:rPr>
        <w:t xml:space="preserve">No. </w:t>
      </w:r>
      <w:r w:rsidRPr="00490BD2">
        <w:rPr>
          <w:rFonts w:ascii="Cambria" w:hAnsi="Cambria"/>
          <w:lang w:val="en"/>
        </w:rPr>
        <w:t xml:space="preserve">219/2013/TT-BTC, when </w:t>
      </w:r>
      <w:r w:rsidR="000C5859">
        <w:rPr>
          <w:rFonts w:ascii="Cambria" w:hAnsi="Cambria"/>
          <w:lang w:val="en"/>
        </w:rPr>
        <w:t>the S</w:t>
      </w:r>
      <w:r w:rsidRPr="00490BD2">
        <w:rPr>
          <w:rFonts w:ascii="Cambria" w:hAnsi="Cambria"/>
          <w:lang w:val="en"/>
        </w:rPr>
        <w:t xml:space="preserve">ubsidiary </w:t>
      </w:r>
      <w:r w:rsidR="002D299C">
        <w:rPr>
          <w:rFonts w:ascii="Cambria" w:hAnsi="Cambria"/>
          <w:lang w:val="en"/>
        </w:rPr>
        <w:t>tha</w:t>
      </w:r>
      <w:r w:rsidR="00D72E97">
        <w:rPr>
          <w:rFonts w:ascii="Cambria" w:hAnsi="Cambria"/>
          <w:lang w:val="en"/>
        </w:rPr>
        <w:t>t</w:t>
      </w:r>
      <w:r w:rsidR="002D299C">
        <w:rPr>
          <w:rFonts w:ascii="Cambria" w:hAnsi="Cambria"/>
          <w:lang w:val="en"/>
        </w:rPr>
        <w:t xml:space="preserve"> use</w:t>
      </w:r>
      <w:r w:rsidR="002C1E68">
        <w:rPr>
          <w:rFonts w:ascii="Cambria" w:hAnsi="Cambria"/>
          <w:lang w:val="en"/>
        </w:rPr>
        <w:t>s</w:t>
      </w:r>
      <w:r w:rsidR="002D299C">
        <w:rPr>
          <w:rFonts w:ascii="Cambria" w:hAnsi="Cambria"/>
          <w:lang w:val="en"/>
        </w:rPr>
        <w:t xml:space="preserve"> </w:t>
      </w:r>
      <w:r w:rsidR="00D72E97">
        <w:rPr>
          <w:rFonts w:ascii="Cambria" w:hAnsi="Cambria"/>
          <w:lang w:val="en"/>
        </w:rPr>
        <w:t>such</w:t>
      </w:r>
      <w:r w:rsidR="002D299C">
        <w:rPr>
          <w:rFonts w:ascii="Cambria" w:hAnsi="Cambria"/>
          <w:lang w:val="en"/>
        </w:rPr>
        <w:t xml:space="preserve"> </w:t>
      </w:r>
      <w:r w:rsidRPr="00490BD2">
        <w:rPr>
          <w:rFonts w:ascii="Cambria" w:hAnsi="Cambria"/>
          <w:lang w:val="en"/>
        </w:rPr>
        <w:t>sponsorship</w:t>
      </w:r>
      <w:r>
        <w:rPr>
          <w:rFonts w:ascii="Cambria" w:hAnsi="Cambria"/>
          <w:lang w:val="en"/>
        </w:rPr>
        <w:t xml:space="preserve"> </w:t>
      </w:r>
      <w:r w:rsidRPr="00490BD2">
        <w:rPr>
          <w:rFonts w:ascii="Cambria" w:hAnsi="Cambria"/>
          <w:lang w:val="en"/>
        </w:rPr>
        <w:t xml:space="preserve">from the </w:t>
      </w:r>
      <w:r w:rsidR="000C5859" w:rsidRPr="00490BD2">
        <w:rPr>
          <w:rFonts w:ascii="Cambria" w:hAnsi="Cambria"/>
          <w:lang w:val="en"/>
        </w:rPr>
        <w:t>Parent Company</w:t>
      </w:r>
      <w:r w:rsidRPr="00490BD2">
        <w:rPr>
          <w:rFonts w:ascii="Cambria" w:hAnsi="Cambria"/>
          <w:lang w:val="en"/>
        </w:rPr>
        <w:t xml:space="preserve"> to perform services such as repair, warranty, promotion</w:t>
      </w:r>
      <w:r w:rsidR="006B0962">
        <w:rPr>
          <w:rFonts w:ascii="Cambria" w:hAnsi="Cambria"/>
          <w:lang w:val="en"/>
        </w:rPr>
        <w:t>,</w:t>
      </w:r>
      <w:r w:rsidRPr="00490BD2">
        <w:rPr>
          <w:rFonts w:ascii="Cambria" w:hAnsi="Cambria"/>
          <w:lang w:val="en"/>
        </w:rPr>
        <w:t xml:space="preserve"> or advertisin</w:t>
      </w:r>
      <w:r w:rsidR="002C1E68">
        <w:rPr>
          <w:rFonts w:ascii="Cambria" w:hAnsi="Cambria"/>
          <w:lang w:val="en"/>
        </w:rPr>
        <w:t>g</w:t>
      </w:r>
      <w:r w:rsidR="00D72E97">
        <w:rPr>
          <w:rFonts w:ascii="Cambria" w:hAnsi="Cambria"/>
          <w:lang w:val="en"/>
        </w:rPr>
        <w:t xml:space="preserve"> for the </w:t>
      </w:r>
      <w:r w:rsidR="002C1E68">
        <w:rPr>
          <w:rFonts w:ascii="Cambria" w:hAnsi="Cambria"/>
          <w:lang w:val="en"/>
        </w:rPr>
        <w:t>P</w:t>
      </w:r>
      <w:r w:rsidR="00D72E97">
        <w:rPr>
          <w:rFonts w:ascii="Cambria" w:hAnsi="Cambria"/>
          <w:lang w:val="en"/>
        </w:rPr>
        <w:t xml:space="preserve">arent </w:t>
      </w:r>
      <w:r w:rsidR="002C1E68">
        <w:rPr>
          <w:rFonts w:ascii="Cambria" w:hAnsi="Cambria"/>
          <w:lang w:val="en"/>
        </w:rPr>
        <w:t>C</w:t>
      </w:r>
      <w:r w:rsidR="00D72E97">
        <w:rPr>
          <w:rFonts w:ascii="Cambria" w:hAnsi="Cambria"/>
          <w:lang w:val="en"/>
        </w:rPr>
        <w:t>ompany</w:t>
      </w:r>
      <w:r w:rsidRPr="00490BD2">
        <w:rPr>
          <w:rFonts w:ascii="Cambria" w:hAnsi="Cambria"/>
          <w:lang w:val="en"/>
        </w:rPr>
        <w:t xml:space="preserve"> must declare and pay tax according to the provisions of the law on VAT</w:t>
      </w:r>
      <w:r w:rsidR="006B0962">
        <w:rPr>
          <w:rFonts w:ascii="Cambria" w:hAnsi="Cambria"/>
          <w:lang w:val="en"/>
        </w:rPr>
        <w:t>.</w:t>
      </w:r>
    </w:p>
    <w:p w14:paraId="2FEFD748" w14:textId="77777777" w:rsidR="002D299C" w:rsidRDefault="002D299C" w:rsidP="002E49A4">
      <w:pPr>
        <w:pStyle w:val="ListParagraph"/>
        <w:spacing w:after="0" w:line="242" w:lineRule="auto"/>
        <w:ind w:left="2160"/>
        <w:jc w:val="both"/>
        <w:rPr>
          <w:rFonts w:ascii="Cambria" w:hAnsi="Cambria"/>
          <w:lang w:val="en"/>
        </w:rPr>
      </w:pPr>
    </w:p>
    <w:p w14:paraId="2CA2F23B" w14:textId="38426298" w:rsidR="006B0962" w:rsidRPr="006B0962" w:rsidRDefault="006B0962" w:rsidP="002E49A4">
      <w:pPr>
        <w:pStyle w:val="ListParagraph"/>
        <w:spacing w:after="0" w:line="242" w:lineRule="auto"/>
        <w:ind w:left="1440"/>
        <w:jc w:val="both"/>
        <w:rPr>
          <w:rFonts w:ascii="Cambria" w:hAnsi="Cambria"/>
        </w:rPr>
      </w:pPr>
      <w:r w:rsidRPr="006B0962">
        <w:rPr>
          <w:rFonts w:ascii="Cambria" w:hAnsi="Cambria"/>
          <w:lang w:val="en"/>
        </w:rPr>
        <w:t xml:space="preserve">Therefore, to determine the VAT payment obligation of the </w:t>
      </w:r>
      <w:r w:rsidR="00D72E97">
        <w:rPr>
          <w:rFonts w:ascii="Cambria" w:hAnsi="Cambria"/>
          <w:lang w:val="en"/>
        </w:rPr>
        <w:t>S</w:t>
      </w:r>
      <w:r w:rsidR="00D72E97" w:rsidRPr="006B0962">
        <w:rPr>
          <w:rFonts w:ascii="Cambria" w:hAnsi="Cambria"/>
          <w:lang w:val="en"/>
        </w:rPr>
        <w:t>ubsidiary</w:t>
      </w:r>
      <w:r w:rsidRPr="006B0962">
        <w:rPr>
          <w:rFonts w:ascii="Cambria" w:hAnsi="Cambria"/>
          <w:lang w:val="en"/>
        </w:rPr>
        <w:t xml:space="preserve">, it is necessary to determine whether the </w:t>
      </w:r>
      <w:r w:rsidR="00D72E97">
        <w:rPr>
          <w:rFonts w:ascii="Cambria" w:hAnsi="Cambria"/>
          <w:lang w:val="en"/>
        </w:rPr>
        <w:t>S</w:t>
      </w:r>
      <w:r w:rsidRPr="006B0962">
        <w:rPr>
          <w:rFonts w:ascii="Cambria" w:hAnsi="Cambria"/>
          <w:lang w:val="en"/>
        </w:rPr>
        <w:t xml:space="preserve">ubsidiary uses </w:t>
      </w:r>
      <w:r>
        <w:rPr>
          <w:rFonts w:ascii="Cambria" w:hAnsi="Cambria"/>
          <w:lang w:val="en"/>
        </w:rPr>
        <w:t xml:space="preserve">such sponsorship </w:t>
      </w:r>
      <w:r w:rsidRPr="006B0962">
        <w:rPr>
          <w:rFonts w:ascii="Cambria" w:hAnsi="Cambria"/>
          <w:lang w:val="en"/>
        </w:rPr>
        <w:t xml:space="preserve">to perform services for </w:t>
      </w:r>
      <w:r>
        <w:rPr>
          <w:rFonts w:ascii="Cambria" w:hAnsi="Cambria"/>
          <w:lang w:val="en"/>
        </w:rPr>
        <w:t>its</w:t>
      </w:r>
      <w:r w:rsidRPr="006B0962">
        <w:rPr>
          <w:rFonts w:ascii="Cambria" w:hAnsi="Cambria"/>
          <w:lang w:val="en"/>
        </w:rPr>
        <w:t xml:space="preserve"> </w:t>
      </w:r>
      <w:r w:rsidR="00D05E92" w:rsidRPr="006B0962">
        <w:rPr>
          <w:rFonts w:ascii="Cambria" w:hAnsi="Cambria"/>
          <w:lang w:val="en"/>
        </w:rPr>
        <w:t xml:space="preserve">Parent Company </w:t>
      </w:r>
      <w:r w:rsidRPr="006B0962">
        <w:rPr>
          <w:rFonts w:ascii="Cambria" w:hAnsi="Cambria"/>
          <w:lang w:val="en"/>
        </w:rPr>
        <w:t>such as repair, warranty, promotion</w:t>
      </w:r>
      <w:r>
        <w:rPr>
          <w:rFonts w:ascii="Cambria" w:hAnsi="Cambria"/>
          <w:lang w:val="en"/>
        </w:rPr>
        <w:t xml:space="preserve">, </w:t>
      </w:r>
      <w:r w:rsidRPr="006B0962">
        <w:rPr>
          <w:rFonts w:ascii="Cambria" w:hAnsi="Cambria"/>
          <w:lang w:val="en"/>
        </w:rPr>
        <w:t>advertising or not. It c</w:t>
      </w:r>
      <w:r>
        <w:rPr>
          <w:rFonts w:ascii="Cambria" w:hAnsi="Cambria"/>
          <w:lang w:val="en"/>
        </w:rPr>
        <w:t>ould</w:t>
      </w:r>
      <w:r w:rsidRPr="006B0962">
        <w:rPr>
          <w:rFonts w:ascii="Cambria" w:hAnsi="Cambria"/>
          <w:lang w:val="en"/>
        </w:rPr>
        <w:t xml:space="preserve"> be seen that the above regulation is for the purpose of preventing the parties from taking advantage of the non-refundable </w:t>
      </w:r>
      <w:r>
        <w:rPr>
          <w:rFonts w:ascii="Cambria" w:hAnsi="Cambria"/>
          <w:lang w:val="en"/>
        </w:rPr>
        <w:t>sponsor</w:t>
      </w:r>
      <w:r w:rsidRPr="006B0962">
        <w:rPr>
          <w:rFonts w:ascii="Cambria" w:hAnsi="Cambria"/>
          <w:lang w:val="en"/>
        </w:rPr>
        <w:t xml:space="preserve"> to perform services without declaring and paying VAT a</w:t>
      </w:r>
      <w:r>
        <w:rPr>
          <w:rFonts w:ascii="Cambria" w:hAnsi="Cambria"/>
          <w:lang w:val="en"/>
        </w:rPr>
        <w:t>s prescribed</w:t>
      </w:r>
      <w:r w:rsidRPr="006B0962">
        <w:rPr>
          <w:rFonts w:ascii="Cambria" w:hAnsi="Cambria"/>
          <w:lang w:val="en"/>
        </w:rPr>
        <w:t>.</w:t>
      </w:r>
      <w:r>
        <w:rPr>
          <w:rFonts w:ascii="Cambria" w:hAnsi="Cambria"/>
          <w:lang w:val="en"/>
        </w:rPr>
        <w:t xml:space="preserve"> </w:t>
      </w:r>
      <w:r w:rsidRPr="006B0962">
        <w:rPr>
          <w:rFonts w:ascii="Cambria" w:hAnsi="Cambria"/>
          <w:lang w:val="en"/>
        </w:rPr>
        <w:t xml:space="preserve">Therefore, on the principle of caution, the parties should </w:t>
      </w:r>
      <w:r>
        <w:rPr>
          <w:rFonts w:ascii="Cambria" w:hAnsi="Cambria"/>
          <w:lang w:val="en"/>
        </w:rPr>
        <w:t>consider</w:t>
      </w:r>
      <w:r w:rsidRPr="006B0962">
        <w:rPr>
          <w:rFonts w:ascii="Cambria" w:hAnsi="Cambria"/>
          <w:lang w:val="en"/>
        </w:rPr>
        <w:t xml:space="preserve"> this provision in a broad sense, </w:t>
      </w:r>
      <w:proofErr w:type="gramStart"/>
      <w:r w:rsidRPr="006B0962">
        <w:rPr>
          <w:rFonts w:ascii="Cambria" w:hAnsi="Cambria"/>
          <w:lang w:val="en"/>
        </w:rPr>
        <w:t>i.e.</w:t>
      </w:r>
      <w:proofErr w:type="gramEnd"/>
      <w:r w:rsidRPr="006B0962">
        <w:rPr>
          <w:rFonts w:ascii="Cambria" w:hAnsi="Cambria"/>
          <w:lang w:val="en"/>
        </w:rPr>
        <w:t xml:space="preserve"> when the </w:t>
      </w:r>
      <w:r w:rsidR="00D05E92">
        <w:rPr>
          <w:rFonts w:ascii="Cambria" w:hAnsi="Cambria"/>
          <w:lang w:val="en"/>
        </w:rPr>
        <w:t>S</w:t>
      </w:r>
      <w:r w:rsidR="00D05E92" w:rsidRPr="006B0962">
        <w:rPr>
          <w:rFonts w:ascii="Cambria" w:hAnsi="Cambria"/>
          <w:lang w:val="en"/>
        </w:rPr>
        <w:t xml:space="preserve">ubsidiary </w:t>
      </w:r>
      <w:r w:rsidRPr="006B0962">
        <w:rPr>
          <w:rFonts w:ascii="Cambria" w:hAnsi="Cambria"/>
          <w:lang w:val="en"/>
        </w:rPr>
        <w:t xml:space="preserve">receives a non-refundable </w:t>
      </w:r>
      <w:r>
        <w:rPr>
          <w:rFonts w:ascii="Cambria" w:hAnsi="Cambria"/>
          <w:lang w:val="en"/>
        </w:rPr>
        <w:t xml:space="preserve">sponsorship </w:t>
      </w:r>
      <w:r w:rsidRPr="006B0962">
        <w:rPr>
          <w:rFonts w:ascii="Cambria" w:hAnsi="Cambria"/>
          <w:lang w:val="en"/>
        </w:rPr>
        <w:t xml:space="preserve">from the </w:t>
      </w:r>
      <w:r w:rsidR="0064331C">
        <w:rPr>
          <w:rFonts w:ascii="Cambria" w:hAnsi="Cambria"/>
          <w:lang w:val="en"/>
        </w:rPr>
        <w:t>P</w:t>
      </w:r>
      <w:r w:rsidR="0064331C" w:rsidRPr="006B0962">
        <w:rPr>
          <w:rFonts w:ascii="Cambria" w:hAnsi="Cambria"/>
          <w:lang w:val="en"/>
        </w:rPr>
        <w:t xml:space="preserve">arent </w:t>
      </w:r>
      <w:r w:rsidR="0064331C">
        <w:rPr>
          <w:rFonts w:ascii="Cambria" w:hAnsi="Cambria"/>
          <w:lang w:val="en"/>
        </w:rPr>
        <w:t>C</w:t>
      </w:r>
      <w:r w:rsidR="0064331C" w:rsidRPr="006B0962">
        <w:rPr>
          <w:rFonts w:ascii="Cambria" w:hAnsi="Cambria"/>
          <w:lang w:val="en"/>
        </w:rPr>
        <w:t xml:space="preserve">ompany </w:t>
      </w:r>
      <w:r w:rsidRPr="006B0962">
        <w:rPr>
          <w:rFonts w:ascii="Cambria" w:hAnsi="Cambria"/>
          <w:lang w:val="en"/>
        </w:rPr>
        <w:t xml:space="preserve">to perform any service for the </w:t>
      </w:r>
      <w:r w:rsidR="0064331C">
        <w:rPr>
          <w:rFonts w:ascii="Cambria" w:hAnsi="Cambria"/>
          <w:lang w:val="en"/>
        </w:rPr>
        <w:t>P</w:t>
      </w:r>
      <w:r w:rsidR="0064331C" w:rsidRPr="006B0962">
        <w:rPr>
          <w:rFonts w:ascii="Cambria" w:hAnsi="Cambria"/>
          <w:lang w:val="en"/>
        </w:rPr>
        <w:t xml:space="preserve">arent </w:t>
      </w:r>
      <w:r w:rsidR="0064331C">
        <w:rPr>
          <w:rFonts w:ascii="Cambria" w:hAnsi="Cambria"/>
          <w:lang w:val="en"/>
        </w:rPr>
        <w:t>C</w:t>
      </w:r>
      <w:r w:rsidR="0064331C" w:rsidRPr="006B0962">
        <w:rPr>
          <w:rFonts w:ascii="Cambria" w:hAnsi="Cambria"/>
          <w:lang w:val="en"/>
        </w:rPr>
        <w:t>ompany</w:t>
      </w:r>
      <w:r w:rsidR="0064331C">
        <w:rPr>
          <w:rFonts w:ascii="Cambria" w:hAnsi="Cambria"/>
          <w:lang w:val="en"/>
        </w:rPr>
        <w:t xml:space="preserve"> </w:t>
      </w:r>
      <w:r w:rsidRPr="006B0962">
        <w:rPr>
          <w:rFonts w:ascii="Cambria" w:hAnsi="Cambria"/>
          <w:lang w:val="en"/>
        </w:rPr>
        <w:t xml:space="preserve">(not only limited to repair, warranty, promotion </w:t>
      </w:r>
      <w:r w:rsidR="00C4634F">
        <w:rPr>
          <w:rFonts w:ascii="Cambria" w:hAnsi="Cambria"/>
          <w:lang w:val="en"/>
        </w:rPr>
        <w:t>or</w:t>
      </w:r>
      <w:r w:rsidRPr="006B0962">
        <w:rPr>
          <w:rFonts w:ascii="Cambria" w:hAnsi="Cambria"/>
          <w:lang w:val="en"/>
        </w:rPr>
        <w:t xml:space="preserve"> advertising services), the </w:t>
      </w:r>
      <w:r w:rsidR="0064331C">
        <w:rPr>
          <w:rFonts w:ascii="Cambria" w:hAnsi="Cambria"/>
          <w:lang w:val="en"/>
        </w:rPr>
        <w:t>S</w:t>
      </w:r>
      <w:r w:rsidR="0064331C" w:rsidRPr="006B0962">
        <w:rPr>
          <w:rFonts w:ascii="Cambria" w:hAnsi="Cambria"/>
          <w:lang w:val="en"/>
        </w:rPr>
        <w:t xml:space="preserve">ubsidiary </w:t>
      </w:r>
      <w:r w:rsidRPr="006B0962">
        <w:rPr>
          <w:rFonts w:ascii="Cambria" w:hAnsi="Cambria"/>
          <w:lang w:val="en"/>
        </w:rPr>
        <w:t>still has to declare and pay VAT.</w:t>
      </w:r>
    </w:p>
    <w:p w14:paraId="3DC31547" w14:textId="77777777" w:rsidR="00573F0A" w:rsidRDefault="00573F0A" w:rsidP="002E49A4">
      <w:pPr>
        <w:pStyle w:val="ListParagraph"/>
        <w:spacing w:after="0" w:line="242" w:lineRule="auto"/>
        <w:jc w:val="both"/>
        <w:rPr>
          <w:rFonts w:ascii="Cambria" w:hAnsi="Cambria"/>
        </w:rPr>
      </w:pPr>
    </w:p>
    <w:p w14:paraId="0014162B" w14:textId="65CD45B2" w:rsidR="007206AA" w:rsidRDefault="00C4634F" w:rsidP="002E49A4">
      <w:pPr>
        <w:pStyle w:val="ListParagraph"/>
        <w:numPr>
          <w:ilvl w:val="0"/>
          <w:numId w:val="5"/>
        </w:numPr>
        <w:spacing w:after="0" w:line="242" w:lineRule="auto"/>
        <w:ind w:left="1440" w:hanging="72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Corporate Income Tax</w:t>
      </w:r>
      <w:r w:rsidR="00761E5B">
        <w:rPr>
          <w:rFonts w:ascii="Cambria" w:hAnsi="Cambria"/>
          <w:b/>
        </w:rPr>
        <w:t xml:space="preserve"> (“</w:t>
      </w:r>
      <w:r>
        <w:rPr>
          <w:rFonts w:ascii="Cambria" w:hAnsi="Cambria"/>
          <w:b/>
        </w:rPr>
        <w:t>CIT</w:t>
      </w:r>
      <w:r w:rsidR="00761E5B">
        <w:rPr>
          <w:rFonts w:ascii="Cambria" w:hAnsi="Cambria"/>
          <w:b/>
        </w:rPr>
        <w:t>”)</w:t>
      </w:r>
    </w:p>
    <w:p w14:paraId="1DA32D24" w14:textId="77777777" w:rsidR="007206AA" w:rsidRDefault="007206AA" w:rsidP="002E49A4">
      <w:pPr>
        <w:pStyle w:val="ListParagraph"/>
        <w:spacing w:after="0" w:line="242" w:lineRule="auto"/>
        <w:jc w:val="both"/>
        <w:rPr>
          <w:rFonts w:ascii="Cambria" w:hAnsi="Cambria"/>
          <w:b/>
        </w:rPr>
      </w:pPr>
    </w:p>
    <w:p w14:paraId="78A65673" w14:textId="58879A7C" w:rsidR="006E2520" w:rsidRPr="00E44B54" w:rsidRDefault="00C4634F" w:rsidP="002E49A4">
      <w:pPr>
        <w:pStyle w:val="ListParagraph"/>
        <w:spacing w:after="0" w:line="242" w:lineRule="auto"/>
        <w:ind w:left="1440"/>
        <w:jc w:val="both"/>
        <w:rPr>
          <w:rFonts w:ascii="Cambria" w:hAnsi="Cambria"/>
        </w:rPr>
      </w:pPr>
      <w:proofErr w:type="gramStart"/>
      <w:r w:rsidRPr="00C4634F">
        <w:rPr>
          <w:rFonts w:ascii="Cambria" w:hAnsi="Cambria"/>
          <w:lang w:val="en"/>
        </w:rPr>
        <w:t>Similar to</w:t>
      </w:r>
      <w:proofErr w:type="gramEnd"/>
      <w:r w:rsidRPr="00C4634F">
        <w:rPr>
          <w:rFonts w:ascii="Cambria" w:hAnsi="Cambria"/>
          <w:lang w:val="en"/>
        </w:rPr>
        <w:t xml:space="preserve"> the obligation to declare and pay VAT, the declaration and payment of CIT of </w:t>
      </w:r>
      <w:r w:rsidR="00E75583">
        <w:rPr>
          <w:rFonts w:ascii="Cambria" w:hAnsi="Cambria"/>
          <w:lang w:val="en"/>
        </w:rPr>
        <w:t>the</w:t>
      </w:r>
      <w:r w:rsidRPr="00C4634F">
        <w:rPr>
          <w:rFonts w:ascii="Cambria" w:hAnsi="Cambria"/>
          <w:lang w:val="en"/>
        </w:rPr>
        <w:t xml:space="preserve"> </w:t>
      </w:r>
      <w:r w:rsidR="00E75583">
        <w:rPr>
          <w:rFonts w:ascii="Cambria" w:hAnsi="Cambria"/>
          <w:lang w:val="en"/>
        </w:rPr>
        <w:t>S</w:t>
      </w:r>
      <w:r w:rsidR="00E75583" w:rsidRPr="00C4634F">
        <w:rPr>
          <w:rFonts w:ascii="Cambria" w:hAnsi="Cambria"/>
          <w:lang w:val="en"/>
        </w:rPr>
        <w:t xml:space="preserve">ubsidiary </w:t>
      </w:r>
      <w:r w:rsidR="006F294F">
        <w:rPr>
          <w:rFonts w:ascii="Cambria" w:hAnsi="Cambria"/>
          <w:lang w:val="en"/>
        </w:rPr>
        <w:t>are</w:t>
      </w:r>
      <w:r w:rsidRPr="00C4634F">
        <w:rPr>
          <w:rFonts w:ascii="Cambria" w:hAnsi="Cambria"/>
          <w:lang w:val="en"/>
        </w:rPr>
        <w:t xml:space="preserve"> also determined in the following two </w:t>
      </w:r>
      <w:r w:rsidR="00E44B54">
        <w:rPr>
          <w:rFonts w:ascii="Cambria" w:hAnsi="Cambria"/>
          <w:lang w:val="en"/>
        </w:rPr>
        <w:t>scenarios</w:t>
      </w:r>
      <w:r w:rsidRPr="00C4634F">
        <w:rPr>
          <w:rFonts w:ascii="Cambria" w:hAnsi="Cambria"/>
          <w:lang w:val="en"/>
        </w:rPr>
        <w:t xml:space="preserve"> </w:t>
      </w:r>
      <w:r w:rsidRPr="00C4634F">
        <w:rPr>
          <w:rFonts w:ascii="Cambria" w:hAnsi="Cambria"/>
          <w:i/>
          <w:iCs/>
          <w:lang w:val="en"/>
        </w:rPr>
        <w:t xml:space="preserve">(Circular </w:t>
      </w:r>
      <w:r w:rsidR="00E44B54">
        <w:rPr>
          <w:rFonts w:ascii="Cambria" w:hAnsi="Cambria"/>
          <w:i/>
          <w:iCs/>
          <w:lang w:val="en"/>
        </w:rPr>
        <w:t xml:space="preserve">No. </w:t>
      </w:r>
      <w:r w:rsidRPr="00C4634F">
        <w:rPr>
          <w:rFonts w:ascii="Cambria" w:hAnsi="Cambria"/>
          <w:i/>
          <w:iCs/>
          <w:lang w:val="en"/>
        </w:rPr>
        <w:t xml:space="preserve">78/2014/TT-BTC, and </w:t>
      </w:r>
      <w:r w:rsidR="00E44B54">
        <w:rPr>
          <w:rFonts w:ascii="Cambria" w:hAnsi="Cambria"/>
          <w:i/>
          <w:iCs/>
          <w:lang w:val="en"/>
        </w:rPr>
        <w:t xml:space="preserve">the </w:t>
      </w:r>
      <w:r w:rsidRPr="00C4634F">
        <w:rPr>
          <w:rFonts w:ascii="Cambria" w:hAnsi="Cambria"/>
          <w:i/>
          <w:iCs/>
          <w:lang w:val="en"/>
        </w:rPr>
        <w:t xml:space="preserve">Official </w:t>
      </w:r>
      <w:r w:rsidR="00E44B54" w:rsidRPr="00744AD6">
        <w:rPr>
          <w:rFonts w:ascii="Cambria" w:hAnsi="Cambria"/>
          <w:i/>
          <w:iCs/>
          <w:lang w:val="en"/>
        </w:rPr>
        <w:t>Letter</w:t>
      </w:r>
      <w:r w:rsidR="00E44B54" w:rsidRPr="00E44B54">
        <w:rPr>
          <w:rFonts w:ascii="Cambria" w:hAnsi="Cambria"/>
          <w:i/>
          <w:iCs/>
          <w:lang w:val="en"/>
        </w:rPr>
        <w:t xml:space="preserve"> No.</w:t>
      </w:r>
      <w:r w:rsidR="00E44B54" w:rsidRPr="00744AD6">
        <w:rPr>
          <w:rFonts w:ascii="Cambria" w:hAnsi="Cambria"/>
          <w:i/>
          <w:iCs/>
          <w:lang w:val="en"/>
        </w:rPr>
        <w:t xml:space="preserve"> 1070/CTHN-TTHT</w:t>
      </w:r>
      <w:r w:rsidRPr="00C4634F">
        <w:rPr>
          <w:rFonts w:ascii="Cambria" w:hAnsi="Cambria"/>
          <w:i/>
          <w:iCs/>
          <w:lang w:val="en"/>
        </w:rPr>
        <w:t>)</w:t>
      </w:r>
      <w:r w:rsidR="00853C24" w:rsidRPr="00E44B54">
        <w:rPr>
          <w:rFonts w:ascii="Cambria" w:hAnsi="Cambria"/>
          <w:i/>
          <w:iCs/>
        </w:rPr>
        <w:t xml:space="preserve">: </w:t>
      </w:r>
    </w:p>
    <w:p w14:paraId="71570B7C" w14:textId="77777777" w:rsidR="007206AA" w:rsidRDefault="007206AA" w:rsidP="002E49A4">
      <w:pPr>
        <w:pStyle w:val="ListParagraph"/>
        <w:spacing w:after="0" w:line="242" w:lineRule="auto"/>
        <w:jc w:val="both"/>
        <w:rPr>
          <w:rFonts w:ascii="Cambria" w:hAnsi="Cambria"/>
        </w:rPr>
      </w:pPr>
    </w:p>
    <w:p w14:paraId="520980C9" w14:textId="2556F34B" w:rsidR="00853C24" w:rsidRPr="00621797" w:rsidRDefault="00E44B54" w:rsidP="002E49A4">
      <w:pPr>
        <w:pStyle w:val="ListParagraph"/>
        <w:numPr>
          <w:ilvl w:val="0"/>
          <w:numId w:val="9"/>
        </w:numPr>
        <w:spacing w:after="0" w:line="242" w:lineRule="auto"/>
        <w:ind w:left="2160" w:hanging="720"/>
        <w:jc w:val="both"/>
        <w:rPr>
          <w:rFonts w:ascii="Cambria" w:hAnsi="Cambria"/>
          <w:b/>
        </w:rPr>
      </w:pPr>
      <w:r>
        <w:rPr>
          <w:rFonts w:ascii="Cambria" w:hAnsi="Cambria"/>
          <w:b/>
          <w:bCs/>
        </w:rPr>
        <w:t>Scenario</w:t>
      </w:r>
      <w:r w:rsidR="00853C24" w:rsidRPr="00621797">
        <w:rPr>
          <w:rFonts w:ascii="Cambria" w:hAnsi="Cambria"/>
          <w:b/>
          <w:bCs/>
        </w:rPr>
        <w:t xml:space="preserve"> 1:</w:t>
      </w:r>
      <w:r w:rsidR="00853C24">
        <w:rPr>
          <w:rFonts w:ascii="Cambria" w:hAnsi="Cambria"/>
        </w:rPr>
        <w:t xml:space="preserve"> </w:t>
      </w:r>
      <w:r w:rsidRPr="00E44B54">
        <w:rPr>
          <w:rFonts w:ascii="Cambria" w:hAnsi="Cambria"/>
          <w:lang w:val="en"/>
        </w:rPr>
        <w:t xml:space="preserve">exempt from </w:t>
      </w:r>
      <w:r>
        <w:rPr>
          <w:rFonts w:ascii="Cambria" w:hAnsi="Cambria"/>
          <w:lang w:val="en"/>
        </w:rPr>
        <w:t>CIT</w:t>
      </w:r>
    </w:p>
    <w:p w14:paraId="6E0A7FB6" w14:textId="77777777" w:rsidR="00853C24" w:rsidRPr="00621797" w:rsidRDefault="00853C24" w:rsidP="002E49A4">
      <w:pPr>
        <w:pStyle w:val="ListParagraph"/>
        <w:spacing w:after="0" w:line="242" w:lineRule="auto"/>
        <w:ind w:left="1080"/>
        <w:jc w:val="both"/>
        <w:rPr>
          <w:rFonts w:ascii="Cambria" w:hAnsi="Cambria"/>
          <w:b/>
        </w:rPr>
      </w:pPr>
    </w:p>
    <w:p w14:paraId="7C7956F5" w14:textId="7FEBFABC" w:rsidR="008511E7" w:rsidRPr="002E49A4" w:rsidRDefault="008511E7" w:rsidP="002E49A4">
      <w:pPr>
        <w:pStyle w:val="ListParagraph"/>
        <w:spacing w:after="0" w:line="242" w:lineRule="auto"/>
        <w:ind w:left="2160"/>
        <w:jc w:val="both"/>
      </w:pPr>
      <w:r>
        <w:rPr>
          <w:rFonts w:ascii="Cambria" w:hAnsi="Cambria"/>
          <w:lang w:val="en"/>
        </w:rPr>
        <w:t>In accordance with</w:t>
      </w:r>
      <w:r w:rsidRPr="008511E7">
        <w:rPr>
          <w:rFonts w:ascii="Cambria" w:hAnsi="Cambria"/>
          <w:lang w:val="en"/>
        </w:rPr>
        <w:t xml:space="preserve"> Article 8</w:t>
      </w:r>
      <w:r>
        <w:rPr>
          <w:rFonts w:ascii="Cambria" w:hAnsi="Cambria"/>
          <w:lang w:val="en"/>
        </w:rPr>
        <w:t>.7</w:t>
      </w:r>
      <w:r w:rsidRPr="008511E7">
        <w:rPr>
          <w:rFonts w:ascii="Cambria" w:hAnsi="Cambria"/>
          <w:lang w:val="en"/>
        </w:rPr>
        <w:t xml:space="preserve"> of Circular </w:t>
      </w:r>
      <w:r>
        <w:rPr>
          <w:rFonts w:ascii="Cambria" w:hAnsi="Cambria"/>
          <w:lang w:val="en"/>
        </w:rPr>
        <w:t xml:space="preserve">No. </w:t>
      </w:r>
      <w:r w:rsidRPr="008511E7">
        <w:rPr>
          <w:rFonts w:ascii="Cambria" w:hAnsi="Cambria"/>
          <w:lang w:val="en"/>
        </w:rPr>
        <w:t xml:space="preserve">78/2014/TT-BTC, if the sponsorship received by the </w:t>
      </w:r>
      <w:r w:rsidR="00E75583">
        <w:rPr>
          <w:rFonts w:ascii="Cambria" w:hAnsi="Cambria"/>
          <w:lang w:val="en"/>
        </w:rPr>
        <w:t>S</w:t>
      </w:r>
      <w:r w:rsidR="00E75583" w:rsidRPr="008511E7">
        <w:rPr>
          <w:rFonts w:ascii="Cambria" w:hAnsi="Cambria"/>
          <w:lang w:val="en"/>
        </w:rPr>
        <w:t xml:space="preserve">ubsidiary </w:t>
      </w:r>
      <w:r w:rsidRPr="008511E7">
        <w:rPr>
          <w:rFonts w:ascii="Cambria" w:hAnsi="Cambria"/>
          <w:lang w:val="en"/>
        </w:rPr>
        <w:t xml:space="preserve">is used for educational, scientific research, cultural, artistic, charitable, humanitarian activities and other social activities in Vietnam will be determined as tax-exempt income. Therefore, the </w:t>
      </w:r>
      <w:r w:rsidR="00E75583">
        <w:rPr>
          <w:rFonts w:ascii="Cambria" w:hAnsi="Cambria"/>
          <w:lang w:val="en"/>
        </w:rPr>
        <w:t>S</w:t>
      </w:r>
      <w:r w:rsidR="00E75583" w:rsidRPr="008511E7">
        <w:rPr>
          <w:rFonts w:ascii="Cambria" w:hAnsi="Cambria"/>
          <w:lang w:val="en"/>
        </w:rPr>
        <w:t xml:space="preserve">ubsidiary </w:t>
      </w:r>
      <w:r w:rsidRPr="008511E7">
        <w:rPr>
          <w:rFonts w:ascii="Cambria" w:hAnsi="Cambria"/>
          <w:lang w:val="en"/>
        </w:rPr>
        <w:t xml:space="preserve">is not required to declare and pay CIT on this non-refundable </w:t>
      </w:r>
      <w:r>
        <w:rPr>
          <w:rFonts w:ascii="Cambria" w:hAnsi="Cambria"/>
          <w:lang w:val="en"/>
        </w:rPr>
        <w:t>sponsorshi</w:t>
      </w:r>
      <w:r w:rsidR="00E75583">
        <w:rPr>
          <w:rFonts w:ascii="Cambria" w:hAnsi="Cambria"/>
          <w:lang w:val="en"/>
        </w:rPr>
        <w:t xml:space="preserve">p, </w:t>
      </w:r>
      <w:r w:rsidRPr="008511E7">
        <w:rPr>
          <w:rFonts w:ascii="Cambria" w:hAnsi="Cambria"/>
          <w:lang w:val="en"/>
        </w:rPr>
        <w:t xml:space="preserve">unless the </w:t>
      </w:r>
      <w:r w:rsidR="00E75583">
        <w:rPr>
          <w:rFonts w:ascii="Cambria" w:hAnsi="Cambria"/>
          <w:lang w:val="en"/>
        </w:rPr>
        <w:t>S</w:t>
      </w:r>
      <w:r w:rsidR="00E75583" w:rsidRPr="008511E7">
        <w:rPr>
          <w:rFonts w:ascii="Cambria" w:hAnsi="Cambria"/>
          <w:lang w:val="en"/>
        </w:rPr>
        <w:t xml:space="preserve">ubsidiary </w:t>
      </w:r>
      <w:r w:rsidRPr="008511E7">
        <w:rPr>
          <w:rFonts w:ascii="Cambria" w:hAnsi="Cambria"/>
          <w:lang w:val="en"/>
        </w:rPr>
        <w:t xml:space="preserve">does not use </w:t>
      </w:r>
      <w:r>
        <w:rPr>
          <w:rFonts w:ascii="Cambria" w:hAnsi="Cambria"/>
          <w:lang w:val="en"/>
        </w:rPr>
        <w:t>such amount</w:t>
      </w:r>
      <w:r w:rsidRPr="008511E7">
        <w:rPr>
          <w:rFonts w:ascii="Cambria" w:hAnsi="Cambria"/>
          <w:lang w:val="en"/>
        </w:rPr>
        <w:t xml:space="preserve"> for the above purpose</w:t>
      </w:r>
      <w:r>
        <w:rPr>
          <w:rFonts w:ascii="Cambria" w:hAnsi="Cambria"/>
          <w:lang w:val="en"/>
        </w:rPr>
        <w:t>, it</w:t>
      </w:r>
      <w:r w:rsidRPr="008511E7">
        <w:rPr>
          <w:rFonts w:ascii="Cambria" w:hAnsi="Cambria"/>
          <w:lang w:val="en"/>
        </w:rPr>
        <w:t xml:space="preserve"> must be responsible for paying CIT calculated on the misused portion in the tax period in which the misuse arises</w:t>
      </w:r>
      <w:r>
        <w:rPr>
          <w:rFonts w:ascii="Cambria" w:hAnsi="Cambria"/>
          <w:lang w:val="en"/>
        </w:rPr>
        <w:t>.</w:t>
      </w:r>
    </w:p>
    <w:p w14:paraId="1B8308A8" w14:textId="77777777" w:rsidR="007206AA" w:rsidRDefault="007206AA" w:rsidP="002E49A4">
      <w:pPr>
        <w:pStyle w:val="ListParagraph"/>
        <w:spacing w:after="0" w:line="242" w:lineRule="auto"/>
        <w:jc w:val="both"/>
        <w:rPr>
          <w:rFonts w:ascii="Cambria" w:hAnsi="Cambria"/>
        </w:rPr>
      </w:pPr>
    </w:p>
    <w:p w14:paraId="5E07746F" w14:textId="2781FA24" w:rsidR="008E3C75" w:rsidRPr="00621797" w:rsidRDefault="008511E7" w:rsidP="002E49A4">
      <w:pPr>
        <w:pStyle w:val="ListParagraph"/>
        <w:numPr>
          <w:ilvl w:val="0"/>
          <w:numId w:val="9"/>
        </w:numPr>
        <w:spacing w:after="0" w:line="242" w:lineRule="auto"/>
        <w:ind w:left="2160" w:hanging="72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Scenario</w:t>
      </w:r>
      <w:r w:rsidR="002726BA" w:rsidRPr="00621797">
        <w:rPr>
          <w:rFonts w:ascii="Cambria" w:hAnsi="Cambria"/>
          <w:b/>
          <w:bCs/>
        </w:rPr>
        <w:t xml:space="preserve"> </w:t>
      </w:r>
      <w:r w:rsidR="008E3C75" w:rsidRPr="00621797">
        <w:rPr>
          <w:rFonts w:ascii="Cambria" w:hAnsi="Cambria"/>
          <w:b/>
          <w:bCs/>
        </w:rPr>
        <w:t>2:</w:t>
      </w:r>
      <w:r w:rsidR="008E3C75">
        <w:rPr>
          <w:rFonts w:ascii="Cambria" w:hAnsi="Cambria"/>
          <w:b/>
          <w:bCs/>
        </w:rPr>
        <w:t xml:space="preserve"> </w:t>
      </w:r>
      <w:r w:rsidR="00A03095">
        <w:rPr>
          <w:rFonts w:ascii="Cambria" w:hAnsi="Cambria"/>
        </w:rPr>
        <w:t>non</w:t>
      </w:r>
      <w:r w:rsidR="002E49A4">
        <w:rPr>
          <w:rFonts w:ascii="Cambria" w:hAnsi="Cambria"/>
        </w:rPr>
        <w:t>-</w:t>
      </w:r>
      <w:r w:rsidR="00A03095">
        <w:rPr>
          <w:rFonts w:ascii="Cambria" w:hAnsi="Cambria"/>
        </w:rPr>
        <w:t>exempt from</w:t>
      </w:r>
      <w:r w:rsidRPr="008511E7">
        <w:rPr>
          <w:rFonts w:ascii="Cambria" w:hAnsi="Cambria"/>
          <w:lang w:val="en"/>
        </w:rPr>
        <w:t xml:space="preserve"> </w:t>
      </w:r>
      <w:r>
        <w:rPr>
          <w:rFonts w:ascii="Cambria" w:hAnsi="Cambria"/>
          <w:lang w:val="en"/>
        </w:rPr>
        <w:t>CIT</w:t>
      </w:r>
    </w:p>
    <w:p w14:paraId="4C8E5718" w14:textId="77777777" w:rsidR="008E3C75" w:rsidRPr="00621797" w:rsidRDefault="008E3C75" w:rsidP="002E49A4">
      <w:pPr>
        <w:pStyle w:val="ListParagraph"/>
        <w:spacing w:after="0" w:line="242" w:lineRule="auto"/>
        <w:ind w:left="1080"/>
        <w:jc w:val="both"/>
        <w:rPr>
          <w:rFonts w:ascii="Cambria" w:hAnsi="Cambria"/>
          <w:b/>
          <w:bCs/>
        </w:rPr>
      </w:pPr>
    </w:p>
    <w:p w14:paraId="73412CFF" w14:textId="4E4222A1" w:rsidR="00577563" w:rsidRDefault="00D92909" w:rsidP="002E49A4">
      <w:pPr>
        <w:pStyle w:val="ListParagraph"/>
        <w:spacing w:after="0" w:line="242" w:lineRule="auto"/>
        <w:ind w:left="2160"/>
        <w:jc w:val="both"/>
        <w:rPr>
          <w:rFonts w:ascii="Cambria" w:hAnsi="Cambria"/>
          <w:lang w:val="en"/>
        </w:rPr>
      </w:pPr>
      <w:r w:rsidRPr="00D92909">
        <w:rPr>
          <w:rFonts w:ascii="Cambria" w:hAnsi="Cambria"/>
          <w:lang w:val="en"/>
        </w:rPr>
        <w:t>I</w:t>
      </w:r>
      <w:r>
        <w:rPr>
          <w:rFonts w:ascii="Cambria" w:hAnsi="Cambria"/>
          <w:lang w:val="en"/>
        </w:rPr>
        <w:t>n case where</w:t>
      </w:r>
      <w:r w:rsidRPr="00D92909">
        <w:rPr>
          <w:rFonts w:ascii="Cambria" w:hAnsi="Cambria"/>
          <w:lang w:val="en"/>
        </w:rPr>
        <w:t xml:space="preserve"> the non-refundable </w:t>
      </w:r>
      <w:r>
        <w:rPr>
          <w:rFonts w:ascii="Cambria" w:hAnsi="Cambria"/>
          <w:lang w:val="en"/>
        </w:rPr>
        <w:t xml:space="preserve">sponsorship </w:t>
      </w:r>
      <w:r w:rsidRPr="00D92909">
        <w:rPr>
          <w:rFonts w:ascii="Cambria" w:hAnsi="Cambria"/>
          <w:lang w:val="en"/>
        </w:rPr>
        <w:t xml:space="preserve">received by the </w:t>
      </w:r>
      <w:r w:rsidR="00A03095">
        <w:rPr>
          <w:rFonts w:ascii="Cambria" w:hAnsi="Cambria"/>
          <w:lang w:val="en"/>
        </w:rPr>
        <w:t>S</w:t>
      </w:r>
      <w:r w:rsidRPr="00D92909">
        <w:rPr>
          <w:rFonts w:ascii="Cambria" w:hAnsi="Cambria"/>
          <w:lang w:val="en"/>
        </w:rPr>
        <w:t xml:space="preserve">ubsidiary from </w:t>
      </w:r>
      <w:r>
        <w:rPr>
          <w:rFonts w:ascii="Cambria" w:hAnsi="Cambria"/>
          <w:lang w:val="en"/>
        </w:rPr>
        <w:t>its</w:t>
      </w:r>
      <w:r w:rsidRPr="00D92909">
        <w:rPr>
          <w:rFonts w:ascii="Cambria" w:hAnsi="Cambria"/>
          <w:lang w:val="en"/>
        </w:rPr>
        <w:t xml:space="preserve"> </w:t>
      </w:r>
      <w:r w:rsidR="00A03095" w:rsidRPr="00D92909">
        <w:rPr>
          <w:rFonts w:ascii="Cambria" w:hAnsi="Cambria"/>
          <w:lang w:val="en"/>
        </w:rPr>
        <w:t xml:space="preserve">Parent Company </w:t>
      </w:r>
      <w:r w:rsidRPr="00D92909">
        <w:rPr>
          <w:rFonts w:ascii="Cambria" w:hAnsi="Cambria"/>
          <w:lang w:val="en"/>
        </w:rPr>
        <w:t>is not eligible for CIT exemption as mentioned above, it will be determined as other income of the subsidiary under Article 7</w:t>
      </w:r>
      <w:r>
        <w:rPr>
          <w:rFonts w:ascii="Cambria" w:hAnsi="Cambria"/>
          <w:lang w:val="en"/>
        </w:rPr>
        <w:t>.15</w:t>
      </w:r>
      <w:r w:rsidRPr="00D92909">
        <w:rPr>
          <w:rFonts w:ascii="Cambria" w:hAnsi="Cambria"/>
          <w:lang w:val="en"/>
        </w:rPr>
        <w:t xml:space="preserve"> of Circular </w:t>
      </w:r>
      <w:r>
        <w:rPr>
          <w:rFonts w:ascii="Cambria" w:hAnsi="Cambria"/>
          <w:lang w:val="en"/>
        </w:rPr>
        <w:t xml:space="preserve">No. </w:t>
      </w:r>
      <w:r w:rsidRPr="00D92909">
        <w:rPr>
          <w:rFonts w:ascii="Cambria" w:hAnsi="Cambria"/>
          <w:lang w:val="en"/>
        </w:rPr>
        <w:t xml:space="preserve">78/2014/TT-BTC and subject to </w:t>
      </w:r>
      <w:r>
        <w:rPr>
          <w:rFonts w:ascii="Cambria" w:hAnsi="Cambria"/>
          <w:lang w:val="en"/>
        </w:rPr>
        <w:t>CIT</w:t>
      </w:r>
      <w:r w:rsidRPr="00D92909">
        <w:rPr>
          <w:rFonts w:ascii="Cambria" w:hAnsi="Cambria"/>
          <w:lang w:val="en"/>
        </w:rPr>
        <w:t xml:space="preserve">. </w:t>
      </w:r>
      <w:r>
        <w:rPr>
          <w:rFonts w:ascii="Cambria" w:hAnsi="Cambria"/>
          <w:lang w:val="en"/>
        </w:rPr>
        <w:t>Since</w:t>
      </w:r>
      <w:r w:rsidRPr="00D92909">
        <w:rPr>
          <w:rFonts w:ascii="Cambria" w:hAnsi="Cambria"/>
          <w:lang w:val="en"/>
        </w:rPr>
        <w:t xml:space="preserve">, the </w:t>
      </w:r>
      <w:r w:rsidR="00A03095">
        <w:rPr>
          <w:rFonts w:ascii="Cambria" w:hAnsi="Cambria"/>
          <w:lang w:val="en"/>
        </w:rPr>
        <w:t>S</w:t>
      </w:r>
      <w:r w:rsidR="00A03095" w:rsidRPr="00D92909">
        <w:rPr>
          <w:rFonts w:ascii="Cambria" w:hAnsi="Cambria"/>
          <w:lang w:val="en"/>
        </w:rPr>
        <w:t xml:space="preserve">ubsidiary </w:t>
      </w:r>
      <w:r w:rsidRPr="00D92909">
        <w:rPr>
          <w:rFonts w:ascii="Cambria" w:hAnsi="Cambria"/>
          <w:lang w:val="en"/>
        </w:rPr>
        <w:t xml:space="preserve">still </w:t>
      </w:r>
      <w:proofErr w:type="gramStart"/>
      <w:r w:rsidRPr="00D92909">
        <w:rPr>
          <w:rFonts w:ascii="Cambria" w:hAnsi="Cambria"/>
          <w:lang w:val="en"/>
        </w:rPr>
        <w:t>has to</w:t>
      </w:r>
      <w:proofErr w:type="gramEnd"/>
      <w:r w:rsidRPr="00D92909">
        <w:rPr>
          <w:rFonts w:ascii="Cambria" w:hAnsi="Cambria"/>
          <w:lang w:val="en"/>
        </w:rPr>
        <w:t xml:space="preserve"> declare and pay CIT on this </w:t>
      </w:r>
      <w:r>
        <w:rPr>
          <w:rFonts w:ascii="Cambria" w:hAnsi="Cambria"/>
          <w:lang w:val="en"/>
        </w:rPr>
        <w:t xml:space="preserve">non-refundable </w:t>
      </w:r>
      <w:r w:rsidRPr="00D92909">
        <w:rPr>
          <w:rFonts w:ascii="Cambria" w:hAnsi="Cambria"/>
          <w:lang w:val="en"/>
        </w:rPr>
        <w:t xml:space="preserve">sponsorship </w:t>
      </w:r>
      <w:r>
        <w:rPr>
          <w:rFonts w:ascii="Cambria" w:hAnsi="Cambria"/>
          <w:lang w:val="en"/>
        </w:rPr>
        <w:t xml:space="preserve">amount </w:t>
      </w:r>
      <w:r w:rsidRPr="00D92909">
        <w:rPr>
          <w:rFonts w:ascii="Cambria" w:hAnsi="Cambria"/>
          <w:lang w:val="en"/>
        </w:rPr>
        <w:t>in accordance with the law</w:t>
      </w:r>
      <w:r>
        <w:rPr>
          <w:rFonts w:ascii="Cambria" w:hAnsi="Cambria"/>
          <w:lang w:val="en"/>
        </w:rPr>
        <w:t>.</w:t>
      </w:r>
    </w:p>
    <w:p w14:paraId="1DA87333" w14:textId="77777777" w:rsidR="004D571A" w:rsidRPr="00621797" w:rsidRDefault="004D571A" w:rsidP="002E49A4">
      <w:pPr>
        <w:pStyle w:val="ListParagraph"/>
        <w:spacing w:after="0" w:line="242" w:lineRule="auto"/>
        <w:ind w:left="1440"/>
        <w:jc w:val="both"/>
        <w:rPr>
          <w:rFonts w:ascii="Cambria" w:hAnsi="Cambria"/>
        </w:rPr>
      </w:pPr>
    </w:p>
    <w:p w14:paraId="165137D6" w14:textId="42F65C81" w:rsidR="00D92909" w:rsidRPr="002E49A4" w:rsidRDefault="00D92909" w:rsidP="002E49A4">
      <w:pPr>
        <w:spacing w:after="0" w:line="242" w:lineRule="auto"/>
        <w:jc w:val="both"/>
        <w:rPr>
          <w:rFonts w:ascii="Cambria" w:hAnsi="Cambria"/>
        </w:rPr>
      </w:pPr>
      <w:r w:rsidRPr="002E49A4">
        <w:rPr>
          <w:rFonts w:ascii="Cambria" w:hAnsi="Cambria"/>
          <w:lang w:val="en"/>
        </w:rPr>
        <w:t>Therefore, from the analysis</w:t>
      </w:r>
      <w:r w:rsidR="00095801" w:rsidRPr="002E49A4">
        <w:rPr>
          <w:rFonts w:ascii="Cambria" w:hAnsi="Cambria"/>
          <w:lang w:val="en"/>
        </w:rPr>
        <w:t xml:space="preserve"> above-mentioned</w:t>
      </w:r>
      <w:r w:rsidRPr="002E49A4">
        <w:rPr>
          <w:rFonts w:ascii="Cambria" w:hAnsi="Cambria"/>
          <w:lang w:val="en"/>
        </w:rPr>
        <w:t xml:space="preserve">, it </w:t>
      </w:r>
      <w:r w:rsidR="00095801" w:rsidRPr="002E49A4">
        <w:rPr>
          <w:rFonts w:ascii="Cambria" w:hAnsi="Cambria"/>
          <w:lang w:val="en"/>
        </w:rPr>
        <w:t>could</w:t>
      </w:r>
      <w:r w:rsidRPr="002E49A4">
        <w:rPr>
          <w:rFonts w:ascii="Cambria" w:hAnsi="Cambria"/>
          <w:lang w:val="en"/>
        </w:rPr>
        <w:t xml:space="preserve"> be concluded that the</w:t>
      </w:r>
      <w:r w:rsidR="00A03095" w:rsidRPr="002E49A4">
        <w:rPr>
          <w:rFonts w:ascii="Cambria" w:hAnsi="Cambria"/>
          <w:lang w:val="en"/>
        </w:rPr>
        <w:t xml:space="preserve"> Parent</w:t>
      </w:r>
      <w:r w:rsidR="00225190">
        <w:rPr>
          <w:rFonts w:ascii="Cambria" w:hAnsi="Cambria"/>
          <w:lang w:val="en"/>
        </w:rPr>
        <w:t xml:space="preserve"> Company</w:t>
      </w:r>
      <w:r w:rsidRPr="002E49A4">
        <w:rPr>
          <w:rFonts w:ascii="Cambria" w:hAnsi="Cambria"/>
          <w:lang w:val="en"/>
        </w:rPr>
        <w:t xml:space="preserve"> is allowed to sponsor a non-refundable for </w:t>
      </w:r>
      <w:r w:rsidR="00095801" w:rsidRPr="002E49A4">
        <w:rPr>
          <w:rFonts w:ascii="Cambria" w:hAnsi="Cambria"/>
          <w:lang w:val="en"/>
        </w:rPr>
        <w:t>its</w:t>
      </w:r>
      <w:r w:rsidRPr="002E49A4">
        <w:rPr>
          <w:rFonts w:ascii="Cambria" w:hAnsi="Cambria"/>
          <w:lang w:val="en"/>
        </w:rPr>
        <w:t xml:space="preserve"> </w:t>
      </w:r>
      <w:r w:rsidR="005D0D08" w:rsidRPr="002E49A4">
        <w:rPr>
          <w:rFonts w:ascii="Cambria" w:hAnsi="Cambria"/>
          <w:lang w:val="en"/>
        </w:rPr>
        <w:t>Subsidiary</w:t>
      </w:r>
      <w:r w:rsidRPr="002E49A4">
        <w:rPr>
          <w:rFonts w:ascii="Cambria" w:hAnsi="Cambria"/>
          <w:lang w:val="en"/>
        </w:rPr>
        <w:t xml:space="preserve">, and this </w:t>
      </w:r>
      <w:r w:rsidR="00095801" w:rsidRPr="002E49A4">
        <w:rPr>
          <w:rFonts w:ascii="Cambria" w:hAnsi="Cambria"/>
          <w:lang w:val="en"/>
        </w:rPr>
        <w:t>sponsorship amount</w:t>
      </w:r>
      <w:r w:rsidRPr="002E49A4">
        <w:rPr>
          <w:rFonts w:ascii="Cambria" w:hAnsi="Cambria"/>
          <w:lang w:val="en"/>
        </w:rPr>
        <w:t xml:space="preserve"> will be transferred to </w:t>
      </w:r>
      <w:r w:rsidR="00095801" w:rsidRPr="002E49A4">
        <w:rPr>
          <w:rFonts w:ascii="Cambria" w:hAnsi="Cambria"/>
          <w:lang w:val="en"/>
        </w:rPr>
        <w:t xml:space="preserve">the </w:t>
      </w:r>
      <w:r w:rsidRPr="002E49A4">
        <w:rPr>
          <w:rFonts w:ascii="Cambria" w:hAnsi="Cambria"/>
          <w:lang w:val="en"/>
        </w:rPr>
        <w:t xml:space="preserve">foreign currency </w:t>
      </w:r>
      <w:r w:rsidR="00095801" w:rsidRPr="002E49A4">
        <w:rPr>
          <w:rFonts w:ascii="Cambria" w:hAnsi="Cambria"/>
          <w:lang w:val="en"/>
        </w:rPr>
        <w:t xml:space="preserve">account </w:t>
      </w:r>
      <w:r w:rsidRPr="002E49A4">
        <w:rPr>
          <w:rFonts w:ascii="Cambria" w:hAnsi="Cambria"/>
          <w:lang w:val="en"/>
        </w:rPr>
        <w:t xml:space="preserve">of the </w:t>
      </w:r>
      <w:r w:rsidR="005D0D08" w:rsidRPr="002E49A4">
        <w:rPr>
          <w:rFonts w:ascii="Cambria" w:hAnsi="Cambria"/>
          <w:lang w:val="en"/>
        </w:rPr>
        <w:t>Subsidiary</w:t>
      </w:r>
      <w:r w:rsidRPr="002E49A4">
        <w:rPr>
          <w:rFonts w:ascii="Cambria" w:hAnsi="Cambria"/>
          <w:lang w:val="en"/>
        </w:rPr>
        <w:t xml:space="preserve">, not transferred to the direct investment capital account. In </w:t>
      </w:r>
      <w:r w:rsidRPr="002E49A4">
        <w:rPr>
          <w:rFonts w:ascii="Cambria" w:hAnsi="Cambria"/>
          <w:lang w:val="en"/>
        </w:rPr>
        <w:lastRenderedPageBreak/>
        <w:t xml:space="preserve">addition, the subsidiary's obligation to </w:t>
      </w:r>
      <w:r w:rsidR="00095801" w:rsidRPr="002E49A4">
        <w:rPr>
          <w:rFonts w:ascii="Cambria" w:hAnsi="Cambria"/>
          <w:lang w:val="en"/>
        </w:rPr>
        <w:t xml:space="preserve">declare and </w:t>
      </w:r>
      <w:r w:rsidRPr="002E49A4">
        <w:rPr>
          <w:rFonts w:ascii="Cambria" w:hAnsi="Cambria"/>
          <w:lang w:val="en"/>
        </w:rPr>
        <w:t xml:space="preserve">pay VAT and CIT in Vietnam </w:t>
      </w:r>
      <w:r w:rsidR="00095801" w:rsidRPr="002E49A4">
        <w:rPr>
          <w:rFonts w:ascii="Cambria" w:hAnsi="Cambria"/>
          <w:lang w:val="en"/>
        </w:rPr>
        <w:t>shall</w:t>
      </w:r>
      <w:r w:rsidRPr="002E49A4">
        <w:rPr>
          <w:rFonts w:ascii="Cambria" w:hAnsi="Cambria"/>
          <w:lang w:val="en"/>
        </w:rPr>
        <w:t xml:space="preserve"> be determined on a case-by-case basis as detailed in Section 3 above.</w:t>
      </w:r>
    </w:p>
    <w:p w14:paraId="0CB71FB2" w14:textId="35A655A3" w:rsidR="00E94D8E" w:rsidRPr="002731C7" w:rsidRDefault="00E94D8E" w:rsidP="002E49A4">
      <w:pPr>
        <w:spacing w:after="0" w:line="242" w:lineRule="auto"/>
        <w:jc w:val="both"/>
        <w:rPr>
          <w:rFonts w:ascii="Cambria" w:hAnsi="Cambria"/>
        </w:rPr>
      </w:pPr>
    </w:p>
    <w:sectPr w:rsidR="00E94D8E" w:rsidRPr="002731C7" w:rsidSect="002E49A4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E1B36" w14:textId="77777777" w:rsidR="00F95112" w:rsidRDefault="00F95112" w:rsidP="00852C17">
      <w:pPr>
        <w:spacing w:after="0" w:line="240" w:lineRule="auto"/>
      </w:pPr>
      <w:r>
        <w:separator/>
      </w:r>
    </w:p>
  </w:endnote>
  <w:endnote w:type="continuationSeparator" w:id="0">
    <w:p w14:paraId="47AEBDED" w14:textId="77777777" w:rsidR="00F95112" w:rsidRDefault="00F95112" w:rsidP="00852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D9ACF" w14:textId="77777777" w:rsidR="00F95112" w:rsidRDefault="00F95112" w:rsidP="00852C17">
      <w:pPr>
        <w:spacing w:after="0" w:line="240" w:lineRule="auto"/>
      </w:pPr>
      <w:r>
        <w:separator/>
      </w:r>
    </w:p>
  </w:footnote>
  <w:footnote w:type="continuationSeparator" w:id="0">
    <w:p w14:paraId="0CA72ED8" w14:textId="77777777" w:rsidR="00F95112" w:rsidRDefault="00F95112" w:rsidP="00852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0CAA"/>
    <w:multiLevelType w:val="hybridMultilevel"/>
    <w:tmpl w:val="1E504B12"/>
    <w:lvl w:ilvl="0" w:tplc="27C2BA1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3F90"/>
    <w:multiLevelType w:val="hybridMultilevel"/>
    <w:tmpl w:val="51EE7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72784"/>
    <w:multiLevelType w:val="hybridMultilevel"/>
    <w:tmpl w:val="4AE0D4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DA05C4"/>
    <w:multiLevelType w:val="hybridMultilevel"/>
    <w:tmpl w:val="CAD28F8C"/>
    <w:lvl w:ilvl="0" w:tplc="27C2BA1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31D4F"/>
    <w:multiLevelType w:val="hybridMultilevel"/>
    <w:tmpl w:val="E3864E20"/>
    <w:lvl w:ilvl="0" w:tplc="CFC2F8A8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E223CF"/>
    <w:multiLevelType w:val="hybridMultilevel"/>
    <w:tmpl w:val="D722B1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D47C2E"/>
    <w:multiLevelType w:val="hybridMultilevel"/>
    <w:tmpl w:val="5AFCDDA0"/>
    <w:lvl w:ilvl="0" w:tplc="27C2BA1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75D6C"/>
    <w:multiLevelType w:val="hybridMultilevel"/>
    <w:tmpl w:val="4216B808"/>
    <w:lvl w:ilvl="0" w:tplc="B3FECF06">
      <w:start w:val="1"/>
      <w:numFmt w:val="decimal"/>
      <w:lvlText w:val="3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B2B42"/>
    <w:multiLevelType w:val="hybridMultilevel"/>
    <w:tmpl w:val="581ED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292231">
    <w:abstractNumId w:val="6"/>
  </w:num>
  <w:num w:numId="2" w16cid:durableId="982392579">
    <w:abstractNumId w:val="1"/>
  </w:num>
  <w:num w:numId="3" w16cid:durableId="1057361951">
    <w:abstractNumId w:val="5"/>
  </w:num>
  <w:num w:numId="4" w16cid:durableId="1977834996">
    <w:abstractNumId w:val="2"/>
  </w:num>
  <w:num w:numId="5" w16cid:durableId="1048645561">
    <w:abstractNumId w:val="7"/>
  </w:num>
  <w:num w:numId="6" w16cid:durableId="1018853451">
    <w:abstractNumId w:val="3"/>
  </w:num>
  <w:num w:numId="7" w16cid:durableId="1938295881">
    <w:abstractNumId w:val="0"/>
  </w:num>
  <w:num w:numId="8" w16cid:durableId="56361849">
    <w:abstractNumId w:val="8"/>
  </w:num>
  <w:num w:numId="9" w16cid:durableId="222370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0A1"/>
    <w:rsid w:val="00002F8A"/>
    <w:rsid w:val="00056516"/>
    <w:rsid w:val="00070994"/>
    <w:rsid w:val="00083BA0"/>
    <w:rsid w:val="00090569"/>
    <w:rsid w:val="00093993"/>
    <w:rsid w:val="00095801"/>
    <w:rsid w:val="000A327F"/>
    <w:rsid w:val="000C5859"/>
    <w:rsid w:val="000D2215"/>
    <w:rsid w:val="000E4CAA"/>
    <w:rsid w:val="000F4A88"/>
    <w:rsid w:val="000F7D47"/>
    <w:rsid w:val="0010263E"/>
    <w:rsid w:val="001219CC"/>
    <w:rsid w:val="00130FEC"/>
    <w:rsid w:val="00131E57"/>
    <w:rsid w:val="00142613"/>
    <w:rsid w:val="0015107B"/>
    <w:rsid w:val="001845DD"/>
    <w:rsid w:val="00185062"/>
    <w:rsid w:val="001A3B99"/>
    <w:rsid w:val="001A45F5"/>
    <w:rsid w:val="001C43B8"/>
    <w:rsid w:val="00210091"/>
    <w:rsid w:val="00212691"/>
    <w:rsid w:val="002134E0"/>
    <w:rsid w:val="00225190"/>
    <w:rsid w:val="00232E72"/>
    <w:rsid w:val="002649C2"/>
    <w:rsid w:val="002726BA"/>
    <w:rsid w:val="002731C7"/>
    <w:rsid w:val="0028093F"/>
    <w:rsid w:val="002840A1"/>
    <w:rsid w:val="002A652D"/>
    <w:rsid w:val="002C1E68"/>
    <w:rsid w:val="002D299C"/>
    <w:rsid w:val="002D5683"/>
    <w:rsid w:val="002E49A4"/>
    <w:rsid w:val="002F06D3"/>
    <w:rsid w:val="003443A3"/>
    <w:rsid w:val="00366275"/>
    <w:rsid w:val="0038512A"/>
    <w:rsid w:val="003D69AB"/>
    <w:rsid w:val="003F619E"/>
    <w:rsid w:val="00415046"/>
    <w:rsid w:val="00432DCD"/>
    <w:rsid w:val="00441A49"/>
    <w:rsid w:val="00485320"/>
    <w:rsid w:val="00490BD2"/>
    <w:rsid w:val="004B67D3"/>
    <w:rsid w:val="004C2DAB"/>
    <w:rsid w:val="004D571A"/>
    <w:rsid w:val="004D7569"/>
    <w:rsid w:val="00545136"/>
    <w:rsid w:val="00545609"/>
    <w:rsid w:val="00556E59"/>
    <w:rsid w:val="00573F0A"/>
    <w:rsid w:val="005745F2"/>
    <w:rsid w:val="005754C4"/>
    <w:rsid w:val="00577563"/>
    <w:rsid w:val="005D0D08"/>
    <w:rsid w:val="0060463D"/>
    <w:rsid w:val="00614981"/>
    <w:rsid w:val="00621797"/>
    <w:rsid w:val="0064331C"/>
    <w:rsid w:val="0064503A"/>
    <w:rsid w:val="00645F6F"/>
    <w:rsid w:val="00653BD6"/>
    <w:rsid w:val="00673AAC"/>
    <w:rsid w:val="006B0962"/>
    <w:rsid w:val="006B6615"/>
    <w:rsid w:val="006B7C09"/>
    <w:rsid w:val="006C36CA"/>
    <w:rsid w:val="006C5E6C"/>
    <w:rsid w:val="006E0D38"/>
    <w:rsid w:val="006E2520"/>
    <w:rsid w:val="006F294F"/>
    <w:rsid w:val="007206AA"/>
    <w:rsid w:val="00743F57"/>
    <w:rsid w:val="00744AD6"/>
    <w:rsid w:val="00761E5B"/>
    <w:rsid w:val="0079384D"/>
    <w:rsid w:val="007D2C56"/>
    <w:rsid w:val="007D2F0A"/>
    <w:rsid w:val="007E32B6"/>
    <w:rsid w:val="007E346F"/>
    <w:rsid w:val="007F115C"/>
    <w:rsid w:val="0080714D"/>
    <w:rsid w:val="00823141"/>
    <w:rsid w:val="00825568"/>
    <w:rsid w:val="00840981"/>
    <w:rsid w:val="008511E7"/>
    <w:rsid w:val="00852C17"/>
    <w:rsid w:val="00853C24"/>
    <w:rsid w:val="00856D61"/>
    <w:rsid w:val="00874B1C"/>
    <w:rsid w:val="008A4E6E"/>
    <w:rsid w:val="008C1DE5"/>
    <w:rsid w:val="008D0AC8"/>
    <w:rsid w:val="008E2EC6"/>
    <w:rsid w:val="008E3C75"/>
    <w:rsid w:val="00923110"/>
    <w:rsid w:val="00931445"/>
    <w:rsid w:val="00936AD4"/>
    <w:rsid w:val="00990A4C"/>
    <w:rsid w:val="00993468"/>
    <w:rsid w:val="009D78A7"/>
    <w:rsid w:val="00A03095"/>
    <w:rsid w:val="00A10311"/>
    <w:rsid w:val="00A13B14"/>
    <w:rsid w:val="00A74A57"/>
    <w:rsid w:val="00A774C7"/>
    <w:rsid w:val="00A87EEB"/>
    <w:rsid w:val="00AF665B"/>
    <w:rsid w:val="00B34B35"/>
    <w:rsid w:val="00B36B6B"/>
    <w:rsid w:val="00B719F1"/>
    <w:rsid w:val="00BB113A"/>
    <w:rsid w:val="00BB2B47"/>
    <w:rsid w:val="00BC5CBD"/>
    <w:rsid w:val="00C073F4"/>
    <w:rsid w:val="00C20BD4"/>
    <w:rsid w:val="00C24F96"/>
    <w:rsid w:val="00C27893"/>
    <w:rsid w:val="00C403C5"/>
    <w:rsid w:val="00C4634F"/>
    <w:rsid w:val="00C57317"/>
    <w:rsid w:val="00C5799F"/>
    <w:rsid w:val="00C60134"/>
    <w:rsid w:val="00C941EF"/>
    <w:rsid w:val="00CE499C"/>
    <w:rsid w:val="00D05E92"/>
    <w:rsid w:val="00D21A4B"/>
    <w:rsid w:val="00D36D47"/>
    <w:rsid w:val="00D57F23"/>
    <w:rsid w:val="00D72E97"/>
    <w:rsid w:val="00D77E22"/>
    <w:rsid w:val="00D84720"/>
    <w:rsid w:val="00D92909"/>
    <w:rsid w:val="00DB165D"/>
    <w:rsid w:val="00E34339"/>
    <w:rsid w:val="00E35A8F"/>
    <w:rsid w:val="00E3630B"/>
    <w:rsid w:val="00E44B54"/>
    <w:rsid w:val="00E55F55"/>
    <w:rsid w:val="00E56B15"/>
    <w:rsid w:val="00E635CE"/>
    <w:rsid w:val="00E75583"/>
    <w:rsid w:val="00E9479F"/>
    <w:rsid w:val="00E94D8E"/>
    <w:rsid w:val="00EB34F8"/>
    <w:rsid w:val="00EC5692"/>
    <w:rsid w:val="00F04D45"/>
    <w:rsid w:val="00F30F96"/>
    <w:rsid w:val="00F769E2"/>
    <w:rsid w:val="00F92C38"/>
    <w:rsid w:val="00F95112"/>
    <w:rsid w:val="00FD3549"/>
    <w:rsid w:val="00FE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FCFB"/>
  <w15:chartTrackingRefBased/>
  <w15:docId w15:val="{72D9DA8D-06A4-4835-836A-3AD898B1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C17"/>
  </w:style>
  <w:style w:type="paragraph" w:styleId="Footer">
    <w:name w:val="footer"/>
    <w:basedOn w:val="Normal"/>
    <w:link w:val="FooterChar"/>
    <w:uiPriority w:val="99"/>
    <w:unhideWhenUsed/>
    <w:rsid w:val="00852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C17"/>
  </w:style>
  <w:style w:type="character" w:styleId="Hyperlink">
    <w:name w:val="Hyperlink"/>
    <w:basedOn w:val="DefaultParagraphFont"/>
    <w:uiPriority w:val="99"/>
    <w:unhideWhenUsed/>
    <w:rsid w:val="007E346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2C5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601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01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0134"/>
    <w:rPr>
      <w:vertAlign w:val="superscript"/>
    </w:rPr>
  </w:style>
  <w:style w:type="character" w:styleId="Strong">
    <w:name w:val="Strong"/>
    <w:basedOn w:val="DefaultParagraphFont"/>
    <w:uiPriority w:val="22"/>
    <w:qFormat/>
    <w:rsid w:val="00C60134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AC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AC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3504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333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5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907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2989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46764-EF06-49CD-A2EE-EC2ECFB2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Tin Hoc Luna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ADK-010</cp:lastModifiedBy>
  <cp:revision>4</cp:revision>
  <dcterms:created xsi:type="dcterms:W3CDTF">2022-04-18T10:49:00Z</dcterms:created>
  <dcterms:modified xsi:type="dcterms:W3CDTF">2022-04-19T10:13:00Z</dcterms:modified>
</cp:coreProperties>
</file>