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DD3" w:rsidRPr="009F0DD3" w:rsidRDefault="009F0DD3" w:rsidP="009F0DD3">
      <w:pPr>
        <w:pStyle w:val="NormalWeb"/>
        <w:shd w:val="clear" w:color="auto" w:fill="FFFFFF"/>
        <w:spacing w:before="0" w:beforeAutospacing="0" w:after="0" w:afterAutospacing="0" w:line="252" w:lineRule="auto"/>
        <w:ind w:left="720"/>
        <w:contextualSpacing/>
        <w:jc w:val="center"/>
        <w:rPr>
          <w:rFonts w:ascii="Cambria" w:hAnsi="Cambria"/>
          <w:b/>
          <w:caps/>
          <w:noProof w:val="0"/>
          <w:color w:val="000000"/>
          <w:sz w:val="22"/>
          <w:szCs w:val="22"/>
          <w:lang w:val="en-US"/>
        </w:rPr>
      </w:pPr>
      <w:r w:rsidRPr="009F0DD3">
        <w:rPr>
          <w:rFonts w:ascii="Cambria" w:hAnsi="Cambria"/>
          <w:b/>
          <w:caps/>
          <w:noProof w:val="0"/>
          <w:color w:val="000000"/>
          <w:sz w:val="22"/>
          <w:szCs w:val="22"/>
          <w:lang w:val="en-US"/>
        </w:rPr>
        <w:t>Finalizing a Decree on customs management with goods transacted via e-commerce</w:t>
      </w:r>
    </w:p>
    <w:p w:rsidR="009F0DD3" w:rsidRDefault="009F0DD3" w:rsidP="009F0DD3">
      <w:pPr>
        <w:pStyle w:val="NormalWeb"/>
        <w:shd w:val="clear" w:color="auto" w:fill="FFFFFF"/>
        <w:spacing w:before="0" w:beforeAutospacing="0" w:after="0" w:afterAutospacing="0" w:line="252" w:lineRule="auto"/>
        <w:ind w:left="720"/>
        <w:contextualSpacing/>
        <w:jc w:val="both"/>
        <w:rPr>
          <w:rFonts w:ascii="Cambria" w:hAnsi="Cambria"/>
          <w:b/>
          <w:noProof w:val="0"/>
          <w:color w:val="000000"/>
          <w:sz w:val="22"/>
          <w:szCs w:val="22"/>
          <w:lang w:val="en-US"/>
        </w:rPr>
      </w:pPr>
    </w:p>
    <w:p w:rsidR="009F0DD3" w:rsidRPr="00707BD3" w:rsidRDefault="009F0DD3" w:rsidP="009F0DD3">
      <w:pPr>
        <w:pStyle w:val="NormalWeb"/>
        <w:shd w:val="clear" w:color="auto" w:fill="FFFFFF"/>
        <w:spacing w:line="252" w:lineRule="auto"/>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Recently, for finalizing a draft Decree on customs management for exported and imported goods transacted via e-commerce submitted to the Government by the Ministry of Finance by the end of 2021, the Government Office required the Ministry of Finance to urgently cooperate with equivalent agencies to correct and finalize such draft.</w:t>
      </w:r>
      <w:bookmarkStart w:id="0" w:name="_GoBack"/>
      <w:bookmarkEnd w:id="0"/>
    </w:p>
    <w:p w:rsidR="009F0DD3" w:rsidRPr="00707BD3" w:rsidRDefault="009F0DD3" w:rsidP="009F0DD3">
      <w:pPr>
        <w:pStyle w:val="NormalWeb"/>
        <w:shd w:val="clear" w:color="auto" w:fill="FFFFFF"/>
        <w:spacing w:line="252" w:lineRule="auto"/>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 xml:space="preserve"> </w:t>
      </w:r>
    </w:p>
    <w:p w:rsidR="009F0DD3" w:rsidRPr="00707BD3" w:rsidRDefault="009F0DD3" w:rsidP="009F0DD3">
      <w:pPr>
        <w:pStyle w:val="NormalWeb"/>
        <w:shd w:val="clear" w:color="auto" w:fill="FFFFFF"/>
        <w:spacing w:line="252" w:lineRule="auto"/>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This draft decree regulates primary issues such as specifying the subjects to be regulated are trading</w:t>
      </w:r>
      <w:r>
        <w:rPr>
          <w:rFonts w:ascii="Cambria" w:hAnsi="Cambria"/>
          <w:noProof w:val="0"/>
          <w:color w:val="000000"/>
          <w:sz w:val="22"/>
          <w:szCs w:val="22"/>
          <w:lang w:val="en-US"/>
        </w:rPr>
        <w:t xml:space="preserve"> floors and commercial websites,</w:t>
      </w:r>
      <w:r w:rsidRPr="00707BD3">
        <w:rPr>
          <w:rFonts w:ascii="Cambria" w:hAnsi="Cambria"/>
          <w:noProof w:val="0"/>
          <w:color w:val="000000"/>
          <w:sz w:val="22"/>
          <w:szCs w:val="22"/>
          <w:lang w:val="en-US"/>
        </w:rPr>
        <w:t xml:space="preserve"> electronic sales (including trading floors, e-commerce websites selling goods abroad), and goods transport enterprises transact via e-commerce.</w:t>
      </w:r>
    </w:p>
    <w:p w:rsidR="009F0DD3" w:rsidRPr="00707BD3" w:rsidRDefault="009F0DD3" w:rsidP="009F0DD3">
      <w:pPr>
        <w:pStyle w:val="NormalWeb"/>
        <w:shd w:val="clear" w:color="auto" w:fill="FFFFFF"/>
        <w:spacing w:line="252" w:lineRule="auto"/>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 xml:space="preserve"> </w:t>
      </w:r>
    </w:p>
    <w:p w:rsidR="009F0DD3" w:rsidRPr="00707BD3" w:rsidRDefault="009F0DD3" w:rsidP="009F0DD3">
      <w:pPr>
        <w:pStyle w:val="NormalWeb"/>
        <w:shd w:val="clear" w:color="auto" w:fill="FFFFFF"/>
        <w:spacing w:line="252" w:lineRule="auto"/>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This draft also stipulates specific incentives on tax policies and commodity policies for imported goods transacted via e-commerce, specifically, exemption from import tax, exemption from permits, and exemption from specialized inspection for import orders with a certain value of goods.</w:t>
      </w:r>
    </w:p>
    <w:p w:rsidR="009F0DD3" w:rsidRPr="00707BD3" w:rsidRDefault="009F0DD3" w:rsidP="009F0DD3">
      <w:pPr>
        <w:pStyle w:val="NormalWeb"/>
        <w:shd w:val="clear" w:color="auto" w:fill="FFFFFF"/>
        <w:spacing w:line="252" w:lineRule="auto"/>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 xml:space="preserve"> </w:t>
      </w:r>
    </w:p>
    <w:p w:rsidR="009F0DD3" w:rsidRDefault="009F0DD3" w:rsidP="009F0DD3">
      <w:pPr>
        <w:pStyle w:val="NormalWeb"/>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707BD3">
        <w:rPr>
          <w:rFonts w:ascii="Cambria" w:hAnsi="Cambria"/>
          <w:noProof w:val="0"/>
          <w:color w:val="000000"/>
          <w:sz w:val="22"/>
          <w:szCs w:val="22"/>
          <w:lang w:val="en-US"/>
        </w:rPr>
        <w:t>Also, there are provisions for ensuring information related to good transfer operations to serve the management from a time when the order arises until customs clearance (for imports) or actually exported goods (for exports).</w:t>
      </w:r>
    </w:p>
    <w:p w:rsidR="009F0DD3" w:rsidRPr="00707BD3" w:rsidRDefault="009F0DD3" w:rsidP="009F0DD3">
      <w:pPr>
        <w:pStyle w:val="NormalWeb"/>
        <w:shd w:val="clear" w:color="auto" w:fill="FFFFFF"/>
        <w:spacing w:before="0" w:beforeAutospacing="0" w:after="0" w:afterAutospacing="0" w:line="252" w:lineRule="auto"/>
        <w:ind w:left="720"/>
        <w:contextualSpacing/>
        <w:jc w:val="both"/>
        <w:rPr>
          <w:rFonts w:ascii="Cambria" w:hAnsi="Cambria"/>
          <w:b/>
          <w:noProof w:val="0"/>
          <w:color w:val="000000"/>
          <w:sz w:val="22"/>
          <w:szCs w:val="22"/>
          <w:lang w:val="en-US"/>
        </w:rPr>
      </w:pPr>
    </w:p>
    <w:p w:rsidR="009F0DD3" w:rsidRPr="005D66E8" w:rsidRDefault="009F0DD3" w:rsidP="009F0DD3">
      <w:pPr>
        <w:spacing w:after="160" w:line="259" w:lineRule="auto"/>
        <w:rPr>
          <w:rFonts w:ascii="Cambria" w:hAnsi="Cambria"/>
          <w:noProof w:val="0"/>
          <w:sz w:val="22"/>
          <w:szCs w:val="22"/>
          <w:lang w:val="en-US"/>
        </w:rPr>
      </w:pPr>
    </w:p>
    <w:p w:rsidR="009F0DD3" w:rsidRDefault="009F0DD3">
      <w:pPr>
        <w:spacing w:after="160" w:line="259" w:lineRule="auto"/>
        <w:rPr>
          <w:rFonts w:ascii="Cambria" w:hAnsi="Cambria"/>
          <w:noProof w:val="0"/>
          <w:lang w:val="en-US"/>
        </w:rPr>
      </w:pPr>
      <w:r>
        <w:rPr>
          <w:rFonts w:ascii="Cambria" w:hAnsi="Cambria"/>
          <w:noProof w:val="0"/>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9F0DD3" w:rsidRPr="005D66E8" w:rsidTr="00FF1906">
        <w:trPr>
          <w:trHeight w:val="4343"/>
        </w:trPr>
        <w:tc>
          <w:tcPr>
            <w:tcW w:w="20" w:type="dxa"/>
            <w:tcBorders>
              <w:top w:val="nil"/>
              <w:left w:val="nil"/>
              <w:right w:val="nil"/>
            </w:tcBorders>
          </w:tcPr>
          <w:p w:rsidR="009F0DD3" w:rsidRPr="005D66E8" w:rsidRDefault="009F0DD3" w:rsidP="00FF1906">
            <w:pPr>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rsidR="009F0DD3" w:rsidRPr="005D66E8" w:rsidRDefault="009F0DD3" w:rsidP="00FF1906">
            <w:pPr>
              <w:rPr>
                <w:rFonts w:ascii="Cambria" w:hAnsi="Cambria"/>
                <w:b/>
                <w:noProof w:val="0"/>
                <w:color w:val="000000" w:themeColor="text1"/>
                <w:sz w:val="22"/>
                <w:szCs w:val="22"/>
                <w:lang w:val="en-US"/>
              </w:rPr>
            </w:pPr>
          </w:p>
          <w:p w:rsidR="009F0DD3" w:rsidRPr="005D66E8" w:rsidRDefault="009F0DD3" w:rsidP="00FF1906">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This document has been only prepared for general</w:t>
            </w:r>
            <w:r w:rsidRPr="005D66E8">
              <w:rPr>
                <w:rFonts w:ascii="Cambria" w:hAnsi="Cambria"/>
                <w:noProof w:val="0"/>
                <w:lang w:val="en-US"/>
              </w:rPr>
              <w:t xml:space="preserve"> </w:t>
            </w:r>
            <w:r w:rsidRPr="005D66E8">
              <w:rPr>
                <w:rFonts w:ascii="Cambria" w:hAnsi="Cambria" w:cs="Arial"/>
                <w:noProof w:val="0"/>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9F0DD3" w:rsidRPr="005D66E8" w:rsidRDefault="009F0DD3" w:rsidP="00FF1906">
            <w:pPr>
              <w:widowControl w:val="0"/>
              <w:autoSpaceDE w:val="0"/>
              <w:autoSpaceDN w:val="0"/>
              <w:ind w:left="68" w:right="102" w:hanging="17"/>
              <w:contextualSpacing/>
              <w:jc w:val="both"/>
              <w:rPr>
                <w:rFonts w:ascii="Cambria" w:hAnsi="Cambria" w:cs="Arial"/>
                <w:noProof w:val="0"/>
                <w:lang w:val="en-US" w:eastAsia="en-GB"/>
              </w:rPr>
            </w:pPr>
          </w:p>
          <w:p w:rsidR="009F0DD3" w:rsidRPr="005D66E8" w:rsidRDefault="009F0DD3" w:rsidP="00FF1906">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If you have or suspect that you may have a particular problem, you should contact us or your lawyer for specific advice on the matter.</w:t>
            </w:r>
          </w:p>
          <w:p w:rsidR="009F0DD3" w:rsidRPr="005D66E8" w:rsidRDefault="009F0DD3" w:rsidP="00FF1906">
            <w:pPr>
              <w:widowControl w:val="0"/>
              <w:autoSpaceDE w:val="0"/>
              <w:autoSpaceDN w:val="0"/>
              <w:ind w:left="68" w:right="102" w:hanging="17"/>
              <w:contextualSpacing/>
              <w:jc w:val="both"/>
              <w:rPr>
                <w:rFonts w:ascii="Cambria" w:hAnsi="Cambria" w:cs="Arial"/>
                <w:noProof w:val="0"/>
                <w:lang w:val="en-US" w:eastAsia="en-GB"/>
              </w:rPr>
            </w:pPr>
          </w:p>
          <w:p w:rsidR="009F0DD3" w:rsidRPr="005D66E8" w:rsidRDefault="009F0DD3" w:rsidP="00FF1906">
            <w:pPr>
              <w:widowControl w:val="0"/>
              <w:autoSpaceDE w:val="0"/>
              <w:autoSpaceDN w:val="0"/>
              <w:ind w:left="68" w:right="102" w:hanging="17"/>
              <w:contextualSpacing/>
              <w:jc w:val="center"/>
              <w:rPr>
                <w:rFonts w:ascii="Cambria" w:hAnsi="Cambria" w:cs="Arial"/>
                <w:b/>
                <w:bCs/>
                <w:noProof w:val="0"/>
                <w:lang w:val="en-US" w:eastAsia="en-GB"/>
              </w:rPr>
            </w:pPr>
            <w:r w:rsidRPr="005D66E8">
              <w:rPr>
                <w:rFonts w:ascii="Cambria" w:hAnsi="Cambria" w:cs="Arial"/>
                <w:b/>
                <w:bCs/>
                <w:noProof w:val="0"/>
                <w:lang w:val="en-US" w:eastAsia="en-GB"/>
              </w:rPr>
              <w:t>ADK VIET NAM LAWYERS</w:t>
            </w:r>
          </w:p>
          <w:p w:rsidR="009F0DD3" w:rsidRPr="005D66E8" w:rsidRDefault="009F0DD3" w:rsidP="00FF1906">
            <w:pPr>
              <w:widowControl w:val="0"/>
              <w:autoSpaceDE w:val="0"/>
              <w:autoSpaceDN w:val="0"/>
              <w:ind w:left="68" w:right="102" w:hanging="17"/>
              <w:contextualSpacing/>
              <w:jc w:val="both"/>
              <w:rPr>
                <w:rFonts w:ascii="Cambria" w:hAnsi="Cambria" w:cs="Arial"/>
                <w:b/>
                <w:bCs/>
                <w:noProof w:val="0"/>
                <w:lang w:val="en-US" w:eastAsia="en-GB"/>
              </w:rPr>
            </w:pPr>
          </w:p>
          <w:p w:rsidR="009F0DD3" w:rsidRPr="005D66E8" w:rsidRDefault="009F0DD3" w:rsidP="00FF1906">
            <w:pPr>
              <w:rPr>
                <w:rFonts w:ascii="Cambria" w:hAnsi="Cambria"/>
                <w:color w:val="000000"/>
                <w:lang w:val="en-GB"/>
              </w:rPr>
            </w:pPr>
            <w:r w:rsidRPr="005D66E8">
              <w:rPr>
                <w:rFonts w:ascii="Cambria" w:hAnsi="Cambria"/>
                <w:b/>
                <w:bCs/>
                <w:color w:val="000000"/>
                <w:lang w:val="en-GB"/>
              </w:rPr>
              <w:t>Ho Chi Minh Office</w:t>
            </w:r>
            <w:r w:rsidRPr="005D66E8">
              <w:rPr>
                <w:rFonts w:ascii="Cambria" w:hAnsi="Cambria"/>
                <w:color w:val="000000"/>
                <w:lang w:val="en-GB"/>
              </w:rPr>
              <w:t>: Ground Fl. HBT Tower, 456-458 Hai Ba Trung Str., Tan Dinh Ward, District 1, HCM City, VN</w:t>
            </w:r>
          </w:p>
          <w:p w:rsidR="009F0DD3" w:rsidRPr="005D66E8" w:rsidRDefault="009F0DD3" w:rsidP="00FF1906">
            <w:pPr>
              <w:rPr>
                <w:rFonts w:ascii="Cambria" w:hAnsi="Cambria"/>
                <w:color w:val="000000"/>
                <w:lang w:val="en-US"/>
              </w:rPr>
            </w:pPr>
            <w:r w:rsidRPr="005D66E8">
              <w:rPr>
                <w:rFonts w:ascii="Cambria" w:hAnsi="Cambria"/>
                <w:b/>
                <w:bCs/>
                <w:color w:val="000000"/>
                <w:lang w:val="en-GB"/>
              </w:rPr>
              <w:t>Ha Noi Office</w:t>
            </w:r>
            <w:r w:rsidRPr="005D66E8">
              <w:rPr>
                <w:rFonts w:ascii="Cambria" w:hAnsi="Cambria"/>
                <w:color w:val="000000"/>
                <w:lang w:val="en-GB"/>
              </w:rPr>
              <w:t>: </w:t>
            </w:r>
            <w:r w:rsidRPr="005D66E8">
              <w:rPr>
                <w:rFonts w:ascii="Cambria" w:hAnsi="Cambria"/>
                <w:color w:val="333333"/>
              </w:rPr>
              <w:t>Ground Fl. Pax Sky Building, 63-65 Ngo Thi Nham Str., Pham Dinh Ho Ward, Hai Ba Trung District, Hanoi City, VN</w:t>
            </w:r>
            <w:r w:rsidRPr="005D66E8">
              <w:rPr>
                <w:rFonts w:ascii="Cambria" w:hAnsi="Cambria"/>
                <w:color w:val="000000"/>
                <w:lang w:val="en-GB"/>
              </w:rPr>
              <w:t>    </w:t>
            </w:r>
          </w:p>
          <w:p w:rsidR="009F0DD3" w:rsidRPr="005D66E8" w:rsidRDefault="009F0DD3" w:rsidP="00FF1906">
            <w:pPr>
              <w:pStyle w:val="ListParagraph"/>
              <w:spacing w:line="264" w:lineRule="auto"/>
              <w:ind w:left="0"/>
              <w:jc w:val="both"/>
              <w:rPr>
                <w:rFonts w:ascii="Cambria" w:hAnsi="Cambria" w:cs="Arial"/>
                <w:lang w:val="en-US" w:eastAsia="en-GB"/>
              </w:rPr>
            </w:pPr>
            <w:r w:rsidRPr="005D66E8">
              <w:rPr>
                <w:rFonts w:ascii="Cambria" w:hAnsi="Cambria" w:cs="Arial"/>
                <w:lang w:val="en-US" w:eastAsia="en-GB"/>
              </w:rPr>
              <w:t>Hotline: (+84) 28 66 79 79 66 or (+84) 939 107 387</w:t>
            </w:r>
          </w:p>
          <w:p w:rsidR="009F0DD3" w:rsidRPr="005D66E8" w:rsidRDefault="009F0DD3" w:rsidP="00FF1906">
            <w:pPr>
              <w:widowControl w:val="0"/>
              <w:autoSpaceDE w:val="0"/>
              <w:autoSpaceDN w:val="0"/>
              <w:ind w:left="68" w:right="102" w:hanging="17"/>
              <w:contextualSpacing/>
              <w:jc w:val="both"/>
              <w:rPr>
                <w:rFonts w:ascii="Cambria" w:hAnsi="Cambria" w:cs="Arial"/>
                <w:noProof w:val="0"/>
                <w:color w:val="0000FF"/>
                <w:u w:val="single"/>
                <w:lang w:val="en-US" w:eastAsia="en-GB"/>
              </w:rPr>
            </w:pPr>
            <w:r w:rsidRPr="005D66E8">
              <w:rPr>
                <w:rFonts w:ascii="Cambria" w:hAnsi="Cambria" w:cs="Arial"/>
                <w:noProof w:val="0"/>
                <w:lang w:val="en-US" w:eastAsia="en-GB"/>
              </w:rPr>
              <w:t xml:space="preserve">Email: </w:t>
            </w:r>
            <w:hyperlink r:id="rId7" w:history="1">
              <w:r w:rsidRPr="005D66E8">
                <w:rPr>
                  <w:rFonts w:ascii="Cambria" w:hAnsi="Cambria" w:cs="Arial"/>
                  <w:noProof w:val="0"/>
                  <w:color w:val="0000FF"/>
                  <w:u w:val="single"/>
                  <w:lang w:val="en-US" w:eastAsia="en-GB"/>
                </w:rPr>
                <w:t>info@adk-lawyers.com</w:t>
              </w:r>
            </w:hyperlink>
          </w:p>
          <w:p w:rsidR="009F0DD3" w:rsidRPr="005D66E8" w:rsidRDefault="009F0DD3" w:rsidP="00FF1906">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W</w:t>
            </w:r>
            <w:r w:rsidRPr="005D66E8">
              <w:rPr>
                <w:rFonts w:ascii="Cambria" w:hAnsi="Cambria" w:cs="Arial"/>
                <w:noProof w:val="0"/>
                <w:lang w:val="en-US"/>
              </w:rPr>
              <w:t xml:space="preserve">ebsite: </w:t>
            </w:r>
            <w:hyperlink r:id="rId8" w:history="1">
              <w:r w:rsidRPr="005D66E8">
                <w:rPr>
                  <w:rFonts w:ascii="Cambria" w:hAnsi="Cambria" w:cs="Arial"/>
                  <w:noProof w:val="0"/>
                  <w:color w:val="0000FF"/>
                  <w:u w:val="single"/>
                  <w:lang w:val="en-US"/>
                </w:rPr>
                <w:t>www.adk-lawyers.com</w:t>
              </w:r>
            </w:hyperlink>
            <w:r w:rsidRPr="005D66E8">
              <w:rPr>
                <w:rFonts w:ascii="Cambria" w:hAnsi="Cambria" w:cs="Arial"/>
                <w:noProof w:val="0"/>
                <w:lang w:val="en-US"/>
              </w:rPr>
              <w:t xml:space="preserve">  </w:t>
            </w:r>
          </w:p>
          <w:p w:rsidR="009F0DD3" w:rsidRPr="005D66E8" w:rsidRDefault="009F0DD3" w:rsidP="00FF1906">
            <w:pPr>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rsidR="009F0DD3" w:rsidRPr="005D66E8" w:rsidRDefault="009F0DD3" w:rsidP="00FF1906">
            <w:pPr>
              <w:rPr>
                <w:rFonts w:ascii="Cambria" w:hAnsi="Cambria"/>
                <w:noProof w:val="0"/>
                <w:color w:val="000000" w:themeColor="text1"/>
                <w:lang w:val="en-US"/>
              </w:rPr>
            </w:pPr>
          </w:p>
        </w:tc>
      </w:tr>
      <w:bookmarkEnd w:id="1"/>
    </w:tbl>
    <w:p w:rsidR="009F0DD3" w:rsidRPr="005D66E8" w:rsidRDefault="009F0DD3" w:rsidP="009F0DD3">
      <w:pPr>
        <w:jc w:val="both"/>
        <w:rPr>
          <w:rFonts w:ascii="Cambria" w:hAnsi="Cambria"/>
          <w:noProof w:val="0"/>
          <w:lang w:val="en-US"/>
        </w:rPr>
      </w:pPr>
    </w:p>
    <w:p w:rsidR="009F0DD3" w:rsidRPr="005D66E8" w:rsidRDefault="009F0DD3" w:rsidP="009F0DD3">
      <w:pPr>
        <w:rPr>
          <w:rFonts w:ascii="Cambria" w:hAnsi="Cambria"/>
        </w:rPr>
      </w:pPr>
    </w:p>
    <w:p w:rsidR="009F0DD3" w:rsidRPr="005D66E8" w:rsidRDefault="009F0DD3" w:rsidP="009F0DD3">
      <w:pPr>
        <w:spacing w:line="252" w:lineRule="auto"/>
        <w:jc w:val="both"/>
        <w:rPr>
          <w:rFonts w:ascii="Cambria" w:hAnsi="Cambria"/>
        </w:rPr>
      </w:pPr>
    </w:p>
    <w:p w:rsidR="009F0DD3" w:rsidRPr="00662B88" w:rsidRDefault="009F0DD3" w:rsidP="009F0DD3"/>
    <w:p w:rsidR="009F0DD3" w:rsidRPr="005F1DC4" w:rsidRDefault="009F0DD3" w:rsidP="009F0DD3"/>
    <w:p w:rsidR="009F1ED6" w:rsidRPr="009F0DD3" w:rsidRDefault="002D16D0" w:rsidP="009F0DD3"/>
    <w:sectPr w:rsidR="009F1ED6" w:rsidRPr="009F0DD3"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6D0" w:rsidRDefault="002D16D0">
      <w:r>
        <w:separator/>
      </w:r>
    </w:p>
  </w:endnote>
  <w:endnote w:type="continuationSeparator" w:id="0">
    <w:p w:rsidR="002D16D0" w:rsidRDefault="002D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112037" w:rsidRPr="00591F1C" w:rsidRDefault="009F0DD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rsidR="00112037" w:rsidRDefault="002D16D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9F0DD3" w:rsidRPr="00D644F3">
            <w:rPr>
              <w:rStyle w:val="Hyperlink"/>
              <w:rFonts w:ascii="Palatino Linotype" w:hAnsi="Palatino Linotype"/>
              <w:sz w:val="18"/>
              <w:szCs w:val="18"/>
            </w:rPr>
            <w:t>www.adk-lawyers.com</w:t>
          </w:r>
        </w:hyperlink>
      </w:p>
      <w:p w:rsidR="00112037" w:rsidRDefault="002D16D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6D0" w:rsidRDefault="002D16D0">
      <w:r>
        <w:separator/>
      </w:r>
    </w:p>
  </w:footnote>
  <w:footnote w:type="continuationSeparator" w:id="0">
    <w:p w:rsidR="002D16D0" w:rsidRDefault="002D16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37" w:rsidRDefault="009F0DD3" w:rsidP="00CA0056">
    <w:pPr>
      <w:pStyle w:val="Header"/>
      <w:ind w:left="-1440"/>
    </w:pPr>
    <w:r>
      <w:rPr>
        <w:lang w:val="en-US"/>
      </w:rPr>
      <w:drawing>
        <wp:inline distT="0" distB="0" distL="0" distR="0" wp14:anchorId="6C6DAB7C" wp14:editId="4658B11A">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B31"/>
    <w:multiLevelType w:val="hybridMultilevel"/>
    <w:tmpl w:val="FF8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BC20FF"/>
    <w:multiLevelType w:val="hybridMultilevel"/>
    <w:tmpl w:val="5FB8AD6C"/>
    <w:lvl w:ilvl="0" w:tplc="D0FCD37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59"/>
    <w:rsid w:val="00002F8A"/>
    <w:rsid w:val="002D16D0"/>
    <w:rsid w:val="0060463D"/>
    <w:rsid w:val="007B3294"/>
    <w:rsid w:val="00901E59"/>
    <w:rsid w:val="009F0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76A02-5C4A-4D8F-A3D9-01AC541E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DD3"/>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DD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F0DD3"/>
    <w:rPr>
      <w:noProof/>
      <w:lang w:val="vi-VN"/>
    </w:rPr>
  </w:style>
  <w:style w:type="paragraph" w:styleId="Footer">
    <w:name w:val="footer"/>
    <w:basedOn w:val="Normal"/>
    <w:link w:val="FooterChar"/>
    <w:uiPriority w:val="99"/>
    <w:unhideWhenUsed/>
    <w:rsid w:val="009F0DD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F0DD3"/>
    <w:rPr>
      <w:noProof/>
      <w:lang w:val="vi-VN"/>
    </w:rPr>
  </w:style>
  <w:style w:type="character" w:styleId="Strong">
    <w:name w:val="Strong"/>
    <w:basedOn w:val="DefaultParagraphFont"/>
    <w:uiPriority w:val="22"/>
    <w:qFormat/>
    <w:rsid w:val="009F0DD3"/>
    <w:rPr>
      <w:b/>
      <w:bCs/>
    </w:rPr>
  </w:style>
  <w:style w:type="paragraph" w:styleId="NormalWeb">
    <w:name w:val="Normal (Web)"/>
    <w:basedOn w:val="Normal"/>
    <w:uiPriority w:val="99"/>
    <w:unhideWhenUsed/>
    <w:rsid w:val="009F0DD3"/>
    <w:pPr>
      <w:spacing w:before="100" w:beforeAutospacing="1" w:after="100" w:afterAutospacing="1"/>
    </w:pPr>
  </w:style>
  <w:style w:type="character" w:styleId="Hyperlink">
    <w:name w:val="Hyperlink"/>
    <w:basedOn w:val="DefaultParagraphFont"/>
    <w:uiPriority w:val="99"/>
    <w:unhideWhenUsed/>
    <w:rsid w:val="009F0DD3"/>
    <w:rPr>
      <w:color w:val="0000FF"/>
      <w:u w:val="single"/>
    </w:rPr>
  </w:style>
  <w:style w:type="paragraph" w:styleId="ListParagraph">
    <w:name w:val="List Paragraph"/>
    <w:basedOn w:val="Normal"/>
    <w:link w:val="ListParagraphChar"/>
    <w:uiPriority w:val="34"/>
    <w:qFormat/>
    <w:rsid w:val="009F0DD3"/>
    <w:pPr>
      <w:ind w:left="720"/>
      <w:contextualSpacing/>
    </w:pPr>
  </w:style>
  <w:style w:type="character" w:customStyle="1" w:styleId="ListParagraphChar">
    <w:name w:val="List Paragraph Char"/>
    <w:link w:val="ListParagraph"/>
    <w:uiPriority w:val="34"/>
    <w:locked/>
    <w:rsid w:val="009F0DD3"/>
    <w:rPr>
      <w:rFonts w:ascii="Times New Roman" w:eastAsia="Times New Roman" w:hAnsi="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1816</Characters>
  <Application>Microsoft Office Word</Application>
  <DocSecurity>0</DocSecurity>
  <Lines>15</Lines>
  <Paragraphs>4</Paragraphs>
  <ScaleCrop>false</ScaleCrop>
  <Company>Tin Hoc Luna</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4</cp:revision>
  <dcterms:created xsi:type="dcterms:W3CDTF">2022-05-23T02:06:00Z</dcterms:created>
  <dcterms:modified xsi:type="dcterms:W3CDTF">2022-05-23T02:09:00Z</dcterms:modified>
</cp:coreProperties>
</file>