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678" w14:textId="77777777" w:rsidR="00404F64" w:rsidRPr="00C6709A" w:rsidRDefault="00404F64" w:rsidP="00404F64">
      <w:pPr>
        <w:jc w:val="right"/>
        <w:rPr>
          <w:rFonts w:ascii="Cambria" w:hAnsi="Cambria"/>
          <w:b/>
          <w:sz w:val="22"/>
          <w:szCs w:val="22"/>
          <w:lang w:val="en-US"/>
        </w:rPr>
      </w:pPr>
      <w:r w:rsidRPr="00C6709A">
        <w:rPr>
          <w:rFonts w:ascii="Cambria" w:hAnsi="Cambria"/>
          <w:b/>
          <w:sz w:val="22"/>
          <w:szCs w:val="22"/>
          <w:lang w:val="en-US"/>
        </w:rPr>
        <w:t xml:space="preserve">LEGAL UPDATES </w:t>
      </w:r>
    </w:p>
    <w:p w14:paraId="398DB2A6" w14:textId="5588F2ED" w:rsidR="00404F64" w:rsidRPr="00C6709A" w:rsidRDefault="00404F64" w:rsidP="00404F64">
      <w:pPr>
        <w:jc w:val="right"/>
        <w:rPr>
          <w:rFonts w:ascii="Cambria" w:hAnsi="Cambria"/>
          <w:b/>
          <w:sz w:val="22"/>
          <w:szCs w:val="22"/>
          <w:lang w:val="en-US"/>
        </w:rPr>
      </w:pPr>
      <w:r w:rsidRPr="00C6709A">
        <w:rPr>
          <w:rStyle w:val="Strong"/>
          <w:rFonts w:ascii="Cambria" w:hAnsi="Cambria"/>
          <w:color w:val="000000"/>
          <w:sz w:val="22"/>
          <w:szCs w:val="22"/>
          <w:lang w:val="en-US"/>
        </w:rPr>
        <w:t>VOL 4</w:t>
      </w:r>
      <w:r w:rsidR="00B16544">
        <w:rPr>
          <w:rStyle w:val="Strong"/>
          <w:rFonts w:ascii="Cambria" w:hAnsi="Cambria"/>
          <w:color w:val="000000"/>
          <w:sz w:val="22"/>
          <w:szCs w:val="22"/>
          <w:lang w:val="en-US"/>
        </w:rPr>
        <w:t>4</w:t>
      </w:r>
      <w:r w:rsidRPr="00C6709A">
        <w:rPr>
          <w:rStyle w:val="Strong"/>
          <w:rFonts w:ascii="Cambria" w:hAnsi="Cambria"/>
          <w:color w:val="000000"/>
          <w:sz w:val="22"/>
          <w:szCs w:val="22"/>
          <w:lang w:val="en-US"/>
        </w:rPr>
        <w:t xml:space="preserve">, </w:t>
      </w:r>
      <w:r w:rsidR="00F40434">
        <w:rPr>
          <w:rStyle w:val="Strong"/>
          <w:rFonts w:ascii="Cambria" w:hAnsi="Cambria"/>
          <w:color w:val="000000"/>
          <w:sz w:val="22"/>
          <w:szCs w:val="22"/>
          <w:lang w:val="en-US"/>
        </w:rPr>
        <w:t>JUNE</w:t>
      </w:r>
      <w:r w:rsidRPr="00C6709A">
        <w:rPr>
          <w:rStyle w:val="Strong"/>
          <w:rFonts w:ascii="Cambria" w:hAnsi="Cambria"/>
          <w:color w:val="000000"/>
          <w:sz w:val="22"/>
          <w:szCs w:val="22"/>
          <w:lang w:val="en-US"/>
        </w:rPr>
        <w:t xml:space="preserve"> 2022</w:t>
      </w:r>
    </w:p>
    <w:p w14:paraId="0C0B67F8" w14:textId="77777777" w:rsidR="00404F64" w:rsidRPr="00C6709A" w:rsidRDefault="00404F64" w:rsidP="00404F64">
      <w:pPr>
        <w:jc w:val="right"/>
        <w:rPr>
          <w:rFonts w:ascii="Cambria" w:hAnsi="Cambria"/>
          <w:b/>
          <w:sz w:val="22"/>
          <w:szCs w:val="22"/>
          <w:lang w:val="en-US"/>
        </w:rPr>
      </w:pPr>
    </w:p>
    <w:p w14:paraId="2CA04A85" w14:textId="77777777" w:rsidR="00404F64" w:rsidRPr="00C6709A" w:rsidRDefault="00404F64" w:rsidP="00404F64">
      <w:pPr>
        <w:jc w:val="both"/>
        <w:rPr>
          <w:rFonts w:ascii="Cambria" w:hAnsi="Cambria"/>
          <w:b/>
          <w:sz w:val="22"/>
          <w:szCs w:val="22"/>
          <w:lang w:val="en-US"/>
        </w:rPr>
      </w:pPr>
      <w:r w:rsidRPr="00C6709A">
        <w:rPr>
          <w:rFonts w:ascii="Cambria" w:hAnsi="Cambria"/>
          <w:b/>
          <w:sz w:val="22"/>
          <w:szCs w:val="22"/>
          <w:lang w:val="en-US"/>
        </w:rPr>
        <w:t>Dear Valued Clients and Partners,</w:t>
      </w:r>
    </w:p>
    <w:p w14:paraId="1C57975A" w14:textId="77777777" w:rsidR="00404F64" w:rsidRPr="00C6709A" w:rsidRDefault="00404F64" w:rsidP="00404F64">
      <w:pPr>
        <w:jc w:val="both"/>
        <w:rPr>
          <w:rFonts w:ascii="Cambria" w:hAnsi="Cambria"/>
          <w:b/>
          <w:sz w:val="22"/>
          <w:szCs w:val="22"/>
          <w:lang w:val="en-US"/>
        </w:rPr>
      </w:pPr>
    </w:p>
    <w:p w14:paraId="675612A9" w14:textId="7EA8E6DA" w:rsidR="00404F64" w:rsidRPr="00C6709A" w:rsidRDefault="00404F64" w:rsidP="00404F64">
      <w:pPr>
        <w:jc w:val="both"/>
        <w:rPr>
          <w:rFonts w:ascii="Cambria" w:hAnsi="Cambria"/>
          <w:sz w:val="22"/>
          <w:szCs w:val="22"/>
          <w:lang w:val="en-US"/>
        </w:rPr>
      </w:pPr>
      <w:r w:rsidRPr="00C6709A">
        <w:rPr>
          <w:rFonts w:ascii="Cambria" w:hAnsi="Cambria"/>
          <w:color w:val="000000"/>
          <w:sz w:val="22"/>
          <w:szCs w:val="22"/>
          <w:lang w:val="en-US"/>
        </w:rPr>
        <w:t>ADK Vietnam Lawyers would like to introduce to you the Legal Updates, Vol 4</w:t>
      </w:r>
      <w:r w:rsidR="00B16544">
        <w:rPr>
          <w:rFonts w:ascii="Cambria" w:hAnsi="Cambria"/>
          <w:color w:val="000000"/>
          <w:sz w:val="22"/>
          <w:szCs w:val="22"/>
          <w:lang w:val="en-US"/>
        </w:rPr>
        <w:t>4</w:t>
      </w:r>
      <w:r w:rsidRPr="00C6709A">
        <w:rPr>
          <w:rFonts w:ascii="Cambria" w:hAnsi="Cambria"/>
          <w:color w:val="000000"/>
          <w:sz w:val="22"/>
          <w:szCs w:val="22"/>
          <w:lang w:val="en-US"/>
        </w:rPr>
        <w:t xml:space="preserve"> of </w:t>
      </w:r>
      <w:r w:rsidR="00F40434">
        <w:rPr>
          <w:rFonts w:ascii="Cambria" w:hAnsi="Cambria"/>
          <w:color w:val="000000"/>
          <w:sz w:val="22"/>
          <w:szCs w:val="22"/>
          <w:lang w:val="en-US"/>
        </w:rPr>
        <w:t>June</w:t>
      </w:r>
      <w:r w:rsidRPr="00C6709A">
        <w:rPr>
          <w:rFonts w:ascii="Cambria" w:hAnsi="Cambria"/>
          <w:color w:val="000000"/>
          <w:sz w:val="22"/>
          <w:szCs w:val="22"/>
          <w:lang w:val="en-US"/>
        </w:rPr>
        <w:t xml:space="preserve"> 2022 with new legal provisions with notable contents as follows</w:t>
      </w:r>
      <w:r w:rsidRPr="00C6709A">
        <w:rPr>
          <w:rFonts w:ascii="Cambria" w:hAnsi="Cambria"/>
          <w:sz w:val="22"/>
          <w:szCs w:val="22"/>
          <w:lang w:val="en-US"/>
        </w:rPr>
        <w:t>:</w:t>
      </w:r>
    </w:p>
    <w:p w14:paraId="6C16DBB9" w14:textId="77777777" w:rsidR="00404F64" w:rsidRPr="00C6709A" w:rsidRDefault="00404F64" w:rsidP="00404F64">
      <w:pPr>
        <w:jc w:val="both"/>
        <w:rPr>
          <w:rFonts w:ascii="Cambria" w:hAnsi="Cambria"/>
          <w:sz w:val="22"/>
          <w:szCs w:val="22"/>
          <w:lang w:val="en-US"/>
        </w:rPr>
      </w:pPr>
    </w:p>
    <w:p w14:paraId="7D2691DE" w14:textId="7415993D" w:rsidR="00404F64" w:rsidRPr="00CA26FA" w:rsidRDefault="00626875" w:rsidP="00404F64">
      <w:pPr>
        <w:pStyle w:val="ListParagraph"/>
        <w:numPr>
          <w:ilvl w:val="0"/>
          <w:numId w:val="1"/>
        </w:numPr>
        <w:ind w:hanging="720"/>
        <w:jc w:val="both"/>
        <w:rPr>
          <w:rFonts w:ascii="Cambria" w:hAnsi="Cambria"/>
          <w:b/>
          <w:sz w:val="22"/>
          <w:szCs w:val="22"/>
          <w:lang w:val="en-US"/>
        </w:rPr>
      </w:pPr>
      <w:r w:rsidRPr="00626875">
        <w:rPr>
          <w:rFonts w:ascii="Cambria" w:hAnsi="Cambria"/>
          <w:b/>
          <w:sz w:val="22"/>
          <w:szCs w:val="22"/>
          <w:lang w:val="en-US"/>
        </w:rPr>
        <w:t>Amendment of regulations on</w:t>
      </w:r>
      <w:r>
        <w:rPr>
          <w:rFonts w:ascii="Cambria" w:hAnsi="Cambria"/>
          <w:b/>
          <w:sz w:val="22"/>
          <w:szCs w:val="22"/>
          <w:lang w:val="en-US"/>
        </w:rPr>
        <w:t xml:space="preserve"> </w:t>
      </w:r>
      <w:r w:rsidR="00F318F0" w:rsidRPr="00F318F0">
        <w:rPr>
          <w:rFonts w:ascii="Cambria" w:hAnsi="Cambria"/>
          <w:b/>
          <w:sz w:val="22"/>
          <w:szCs w:val="22"/>
          <w:lang w:val="en-US"/>
        </w:rPr>
        <w:t>issuance and management of</w:t>
      </w:r>
      <w:r w:rsidR="00F318F0">
        <w:rPr>
          <w:rFonts w:ascii="Cambria" w:hAnsi="Cambria"/>
          <w:b/>
          <w:sz w:val="22"/>
          <w:szCs w:val="22"/>
          <w:lang w:val="en-US"/>
        </w:rPr>
        <w:t xml:space="preserve"> APEC business </w:t>
      </w:r>
      <w:r w:rsidR="00F318F0" w:rsidRPr="00F318F0">
        <w:rPr>
          <w:rFonts w:ascii="Cambria" w:hAnsi="Cambria"/>
          <w:b/>
          <w:sz w:val="22"/>
          <w:szCs w:val="22"/>
          <w:lang w:val="en-US"/>
        </w:rPr>
        <w:t>travel cards</w:t>
      </w:r>
    </w:p>
    <w:p w14:paraId="2AC46B72" w14:textId="78342B05" w:rsidR="00404F64" w:rsidRDefault="00404F64" w:rsidP="00CA26FA">
      <w:pPr>
        <w:ind w:left="720"/>
        <w:jc w:val="both"/>
        <w:rPr>
          <w:rFonts w:ascii="Cambria" w:hAnsi="Cambria"/>
          <w:sz w:val="22"/>
          <w:szCs w:val="22"/>
          <w:lang w:val="en-US"/>
        </w:rPr>
      </w:pPr>
    </w:p>
    <w:p w14:paraId="1615E1DA" w14:textId="4D627B67" w:rsidR="00E30040" w:rsidRDefault="009D2B7D" w:rsidP="00F318F0">
      <w:pPr>
        <w:ind w:left="720"/>
        <w:jc w:val="both"/>
        <w:rPr>
          <w:rFonts w:ascii="Cambria" w:hAnsi="Cambria"/>
          <w:sz w:val="22"/>
          <w:szCs w:val="22"/>
          <w:lang w:val="en-US"/>
        </w:rPr>
      </w:pPr>
      <w:r>
        <w:rPr>
          <w:rFonts w:ascii="Cambria" w:hAnsi="Cambria"/>
          <w:sz w:val="22"/>
          <w:szCs w:val="22"/>
          <w:lang w:val="en-US"/>
        </w:rPr>
        <w:t xml:space="preserve"> </w:t>
      </w:r>
      <w:r w:rsidR="00F318F0" w:rsidRPr="00F318F0">
        <w:rPr>
          <w:rFonts w:ascii="Cambria" w:hAnsi="Cambria"/>
          <w:sz w:val="22"/>
          <w:szCs w:val="22"/>
          <w:lang w:val="en-US"/>
        </w:rPr>
        <w:t>On September 9, 2005, Vietnam officially joined the APEC Business Travel Card Program (</w:t>
      </w:r>
      <w:r w:rsidR="000D331E">
        <w:rPr>
          <w:rFonts w:ascii="Cambria" w:hAnsi="Cambria"/>
          <w:sz w:val="22"/>
          <w:szCs w:val="22"/>
          <w:lang w:val="en-US"/>
        </w:rPr>
        <w:t>“</w:t>
      </w:r>
      <w:r w:rsidR="00F318F0" w:rsidRPr="000D331E">
        <w:rPr>
          <w:rFonts w:ascii="Cambria" w:hAnsi="Cambria"/>
          <w:b/>
          <w:bCs/>
          <w:sz w:val="22"/>
          <w:szCs w:val="22"/>
          <w:lang w:val="en-US"/>
        </w:rPr>
        <w:t>ABTC card</w:t>
      </w:r>
      <w:r w:rsidR="000D331E">
        <w:rPr>
          <w:rFonts w:ascii="Cambria" w:hAnsi="Cambria"/>
          <w:sz w:val="22"/>
          <w:szCs w:val="22"/>
          <w:lang w:val="en-US"/>
        </w:rPr>
        <w:t>”</w:t>
      </w:r>
      <w:r w:rsidR="00F318F0" w:rsidRPr="00F318F0">
        <w:rPr>
          <w:rFonts w:ascii="Cambria" w:hAnsi="Cambria"/>
          <w:sz w:val="22"/>
          <w:szCs w:val="22"/>
          <w:lang w:val="en-US"/>
        </w:rPr>
        <w:t>).</w:t>
      </w:r>
      <w:r w:rsidR="00F318F0" w:rsidRPr="00F318F0">
        <w:t xml:space="preserve"> </w:t>
      </w:r>
      <w:r w:rsidR="00F318F0" w:rsidRPr="00F318F0">
        <w:rPr>
          <w:rFonts w:ascii="Cambria" w:hAnsi="Cambria"/>
          <w:sz w:val="22"/>
          <w:szCs w:val="22"/>
          <w:lang w:val="en-US"/>
        </w:rPr>
        <w:t>On that basis, on February 28, 2006, the Prime Minister signed Decision No. 45/2006/QD-TTg on the Regulation on issuance and management of APEC business travel cards,</w:t>
      </w:r>
      <w:r w:rsidR="00F318F0" w:rsidRPr="00F318F0">
        <w:t xml:space="preserve"> </w:t>
      </w:r>
      <w:r w:rsidR="00F318F0" w:rsidRPr="00F318F0">
        <w:rPr>
          <w:rFonts w:ascii="Cambria" w:hAnsi="Cambria"/>
          <w:sz w:val="22"/>
          <w:szCs w:val="22"/>
          <w:lang w:val="en-US"/>
        </w:rPr>
        <w:t>amended and supplemented in Decision No. 54/2015/QD-TTg dated October 29, 2015.</w:t>
      </w:r>
      <w:r w:rsidR="00F318F0">
        <w:rPr>
          <w:rFonts w:ascii="Cambria" w:hAnsi="Cambria"/>
          <w:sz w:val="22"/>
          <w:szCs w:val="22"/>
          <w:lang w:val="en-US"/>
        </w:rPr>
        <w:t xml:space="preserve"> </w:t>
      </w:r>
      <w:r w:rsidR="00F318F0" w:rsidRPr="00F318F0">
        <w:rPr>
          <w:rFonts w:ascii="Cambria" w:hAnsi="Cambria"/>
          <w:sz w:val="22"/>
          <w:szCs w:val="22"/>
          <w:lang w:val="en-US"/>
        </w:rPr>
        <w:t>After 15 years of implementation, besides the recent positive results, the above regulation</w:t>
      </w:r>
      <w:r w:rsidR="00F318F0" w:rsidRPr="00F318F0">
        <w:t xml:space="preserve"> </w:t>
      </w:r>
      <w:r w:rsidR="00F318F0" w:rsidRPr="00F318F0">
        <w:rPr>
          <w:rFonts w:ascii="Cambria" w:hAnsi="Cambria"/>
          <w:sz w:val="22"/>
          <w:szCs w:val="22"/>
          <w:lang w:val="en-US"/>
        </w:rPr>
        <w:t>was inadequate and caused some problems.</w:t>
      </w:r>
      <w:r w:rsidR="00F318F0">
        <w:rPr>
          <w:rFonts w:ascii="Cambria" w:hAnsi="Cambria"/>
          <w:sz w:val="22"/>
          <w:szCs w:val="22"/>
          <w:lang w:val="en-US"/>
        </w:rPr>
        <w:t xml:space="preserve"> </w:t>
      </w:r>
    </w:p>
    <w:p w14:paraId="6DA00628" w14:textId="2F19246B" w:rsidR="00F318F0" w:rsidRDefault="00F318F0" w:rsidP="00F318F0">
      <w:pPr>
        <w:ind w:left="720"/>
        <w:jc w:val="both"/>
        <w:rPr>
          <w:rFonts w:ascii="Cambria" w:hAnsi="Cambria"/>
          <w:sz w:val="22"/>
          <w:szCs w:val="22"/>
          <w:lang w:val="en-US"/>
        </w:rPr>
      </w:pPr>
    </w:p>
    <w:p w14:paraId="7296E852" w14:textId="103BCF36" w:rsidR="00F318F0" w:rsidRDefault="000D331E" w:rsidP="00F318F0">
      <w:pPr>
        <w:ind w:left="720"/>
        <w:jc w:val="both"/>
        <w:rPr>
          <w:rFonts w:ascii="Cambria" w:hAnsi="Cambria"/>
          <w:sz w:val="22"/>
          <w:szCs w:val="22"/>
          <w:lang w:val="en-US"/>
        </w:rPr>
      </w:pPr>
      <w:r w:rsidRPr="000D331E">
        <w:rPr>
          <w:rFonts w:ascii="Cambria" w:hAnsi="Cambria"/>
          <w:sz w:val="22"/>
          <w:szCs w:val="22"/>
          <w:lang w:val="en-US"/>
        </w:rPr>
        <w:t>The Ministry of Public Security</w:t>
      </w:r>
      <w:r>
        <w:rPr>
          <w:rFonts w:ascii="Cambria" w:hAnsi="Cambria"/>
          <w:sz w:val="22"/>
          <w:szCs w:val="22"/>
          <w:lang w:val="en-US"/>
        </w:rPr>
        <w:t xml:space="preserve"> </w:t>
      </w:r>
      <w:r w:rsidRPr="000D331E">
        <w:rPr>
          <w:rFonts w:ascii="Cambria" w:hAnsi="Cambria"/>
          <w:sz w:val="22"/>
          <w:szCs w:val="22"/>
          <w:lang w:val="en-US"/>
        </w:rPr>
        <w:t>is collecting comments to finalize the Prime Minister's Draft Decision</w:t>
      </w:r>
      <w:r w:rsidRPr="000D331E">
        <w:t xml:space="preserve"> </w:t>
      </w:r>
      <w:r w:rsidRPr="000D331E">
        <w:rPr>
          <w:rFonts w:ascii="Cambria" w:hAnsi="Cambria"/>
          <w:sz w:val="22"/>
          <w:szCs w:val="22"/>
          <w:lang w:val="en-US"/>
        </w:rPr>
        <w:t>on the</w:t>
      </w:r>
      <w:r>
        <w:rPr>
          <w:rFonts w:ascii="Cambria" w:hAnsi="Cambria"/>
          <w:sz w:val="22"/>
          <w:szCs w:val="22"/>
          <w:lang w:val="en-US"/>
        </w:rPr>
        <w:t xml:space="preserve"> issuance</w:t>
      </w:r>
      <w:r w:rsidRPr="000D331E">
        <w:rPr>
          <w:rFonts w:ascii="Cambria" w:hAnsi="Cambria"/>
          <w:sz w:val="22"/>
          <w:szCs w:val="22"/>
          <w:lang w:val="en-US"/>
        </w:rPr>
        <w:t xml:space="preserve"> of a new Regulation on procedures, authority to issue and manage APEC business travel cards ("</w:t>
      </w:r>
      <w:r w:rsidRPr="000D331E">
        <w:rPr>
          <w:rFonts w:ascii="Cambria" w:hAnsi="Cambria"/>
          <w:b/>
          <w:bCs/>
          <w:sz w:val="22"/>
          <w:szCs w:val="22"/>
          <w:lang w:val="en-US"/>
        </w:rPr>
        <w:t>Draft</w:t>
      </w:r>
      <w:r w:rsidRPr="000D331E">
        <w:rPr>
          <w:rFonts w:ascii="Cambria" w:hAnsi="Cambria"/>
          <w:sz w:val="22"/>
          <w:szCs w:val="22"/>
          <w:lang w:val="en-US"/>
        </w:rPr>
        <w:t>") to overcome current problems.</w:t>
      </w:r>
    </w:p>
    <w:p w14:paraId="6188F673" w14:textId="5E637D95" w:rsidR="000D331E" w:rsidRDefault="000D331E" w:rsidP="00F318F0">
      <w:pPr>
        <w:ind w:left="720"/>
        <w:jc w:val="both"/>
        <w:rPr>
          <w:rFonts w:ascii="Cambria" w:hAnsi="Cambria"/>
          <w:sz w:val="22"/>
          <w:szCs w:val="22"/>
          <w:lang w:val="en-US"/>
        </w:rPr>
      </w:pPr>
    </w:p>
    <w:p w14:paraId="29D594DF" w14:textId="418310B2" w:rsidR="000D331E" w:rsidRDefault="000D331E" w:rsidP="00F318F0">
      <w:pPr>
        <w:ind w:left="720"/>
        <w:jc w:val="both"/>
        <w:rPr>
          <w:rFonts w:ascii="Cambria" w:hAnsi="Cambria"/>
          <w:sz w:val="22"/>
          <w:szCs w:val="22"/>
          <w:lang w:val="en-US"/>
        </w:rPr>
      </w:pPr>
      <w:r w:rsidRPr="000D331E">
        <w:rPr>
          <w:rFonts w:ascii="Cambria" w:hAnsi="Cambria"/>
          <w:sz w:val="22"/>
          <w:szCs w:val="22"/>
          <w:lang w:val="en-US"/>
        </w:rPr>
        <w:t xml:space="preserve">The </w:t>
      </w:r>
      <w:r w:rsidR="00991937">
        <w:rPr>
          <w:rFonts w:ascii="Cambria" w:hAnsi="Cambria"/>
          <w:sz w:val="22"/>
          <w:szCs w:val="22"/>
          <w:lang w:val="en-US"/>
        </w:rPr>
        <w:t>D</w:t>
      </w:r>
      <w:r w:rsidRPr="000D331E">
        <w:rPr>
          <w:rFonts w:ascii="Cambria" w:hAnsi="Cambria"/>
          <w:sz w:val="22"/>
          <w:szCs w:val="22"/>
          <w:lang w:val="en-US"/>
        </w:rPr>
        <w:t>raft consists of 04 articles, issued together with a draft Regulation (including 08 Chapters 33 Articles) on procedures, authority to issue and manage</w:t>
      </w:r>
      <w:r>
        <w:rPr>
          <w:rFonts w:ascii="Cambria" w:hAnsi="Cambria"/>
          <w:sz w:val="22"/>
          <w:szCs w:val="22"/>
          <w:lang w:val="en-US"/>
        </w:rPr>
        <w:t xml:space="preserve"> </w:t>
      </w:r>
      <w:r w:rsidRPr="000D331E">
        <w:rPr>
          <w:rFonts w:ascii="Cambria" w:hAnsi="Cambria"/>
          <w:sz w:val="22"/>
          <w:szCs w:val="22"/>
          <w:lang w:val="en-US"/>
        </w:rPr>
        <w:t>APEC business travel cards</w:t>
      </w:r>
      <w:r>
        <w:rPr>
          <w:rFonts w:ascii="Cambria" w:hAnsi="Cambria"/>
          <w:sz w:val="22"/>
          <w:szCs w:val="22"/>
          <w:lang w:val="en-US"/>
        </w:rPr>
        <w:t xml:space="preserve">. </w:t>
      </w:r>
    </w:p>
    <w:p w14:paraId="301F07B4" w14:textId="31776353" w:rsidR="000D331E" w:rsidRDefault="000D331E" w:rsidP="00F318F0">
      <w:pPr>
        <w:ind w:left="720"/>
        <w:jc w:val="both"/>
        <w:rPr>
          <w:rFonts w:ascii="Cambria" w:hAnsi="Cambria"/>
          <w:sz w:val="22"/>
          <w:szCs w:val="22"/>
          <w:lang w:val="en-US"/>
        </w:rPr>
      </w:pPr>
    </w:p>
    <w:p w14:paraId="4C2A4650" w14:textId="5D181A75" w:rsidR="000D331E" w:rsidRDefault="00991937" w:rsidP="00F318F0">
      <w:pPr>
        <w:ind w:left="720"/>
        <w:jc w:val="both"/>
        <w:rPr>
          <w:rFonts w:ascii="Cambria" w:hAnsi="Cambria"/>
          <w:sz w:val="22"/>
          <w:szCs w:val="22"/>
          <w:lang w:val="en-US"/>
        </w:rPr>
      </w:pPr>
      <w:r w:rsidRPr="00991937">
        <w:rPr>
          <w:rFonts w:ascii="Cambria" w:hAnsi="Cambria"/>
          <w:sz w:val="22"/>
          <w:szCs w:val="22"/>
          <w:lang w:val="en-US"/>
        </w:rPr>
        <w:t>The ABTC card is valid for entry and exit into the</w:t>
      </w:r>
      <w:r>
        <w:rPr>
          <w:rFonts w:ascii="Cambria" w:hAnsi="Cambria"/>
          <w:sz w:val="22"/>
          <w:szCs w:val="22"/>
          <w:lang w:val="en-US"/>
        </w:rPr>
        <w:t xml:space="preserve"> </w:t>
      </w:r>
      <w:r w:rsidRPr="00991937">
        <w:rPr>
          <w:rFonts w:ascii="Cambria" w:hAnsi="Cambria"/>
          <w:sz w:val="22"/>
          <w:szCs w:val="22"/>
          <w:lang w:val="en-US"/>
        </w:rPr>
        <w:t>countries and territories</w:t>
      </w:r>
      <w:r>
        <w:rPr>
          <w:rFonts w:ascii="Cambria" w:hAnsi="Cambria"/>
          <w:sz w:val="22"/>
          <w:szCs w:val="22"/>
          <w:lang w:val="en-US"/>
        </w:rPr>
        <w:t xml:space="preserve"> of the member </w:t>
      </w:r>
      <w:r w:rsidRPr="00991937">
        <w:rPr>
          <w:rFonts w:ascii="Cambria" w:hAnsi="Cambria"/>
          <w:sz w:val="22"/>
          <w:szCs w:val="22"/>
          <w:lang w:val="en-US"/>
        </w:rPr>
        <w:t>participating in the ABTC Card Program with the name on the card when the cardholder presents it with a valid passport.</w:t>
      </w:r>
      <w:r>
        <w:rPr>
          <w:rFonts w:ascii="Cambria" w:hAnsi="Cambria"/>
          <w:sz w:val="22"/>
          <w:szCs w:val="22"/>
          <w:lang w:val="en-US"/>
        </w:rPr>
        <w:t xml:space="preserve"> </w:t>
      </w:r>
      <w:r w:rsidRPr="00991937">
        <w:rPr>
          <w:rFonts w:ascii="Cambria" w:hAnsi="Cambria"/>
          <w:sz w:val="22"/>
          <w:szCs w:val="22"/>
          <w:lang w:val="en-US"/>
        </w:rPr>
        <w:t>Vietnamese businessmen and foreign businessmen holding ABTC</w:t>
      </w:r>
      <w:r>
        <w:rPr>
          <w:rFonts w:ascii="Cambria" w:hAnsi="Cambria"/>
          <w:sz w:val="22"/>
          <w:szCs w:val="22"/>
          <w:lang w:val="en-US"/>
        </w:rPr>
        <w:t xml:space="preserve"> card </w:t>
      </w:r>
      <w:r w:rsidRPr="00991937">
        <w:rPr>
          <w:rFonts w:ascii="Cambria" w:hAnsi="Cambria"/>
          <w:sz w:val="22"/>
          <w:szCs w:val="22"/>
          <w:lang w:val="en-US"/>
        </w:rPr>
        <w:t>are responsible for presenting their ABTC</w:t>
      </w:r>
      <w:r>
        <w:rPr>
          <w:rFonts w:ascii="Cambria" w:hAnsi="Cambria"/>
          <w:sz w:val="22"/>
          <w:szCs w:val="22"/>
          <w:lang w:val="en-US"/>
        </w:rPr>
        <w:t xml:space="preserve"> card</w:t>
      </w:r>
      <w:r w:rsidRPr="00991937">
        <w:t xml:space="preserve"> </w:t>
      </w:r>
      <w:r w:rsidRPr="00991937">
        <w:rPr>
          <w:rFonts w:ascii="Cambria" w:hAnsi="Cambria"/>
          <w:sz w:val="22"/>
          <w:szCs w:val="22"/>
          <w:lang w:val="en-US"/>
        </w:rPr>
        <w:t>and passports to the person in charge of immigration control upon exiting and entry at the airport of their members</w:t>
      </w:r>
      <w:r w:rsidRPr="00991937">
        <w:t xml:space="preserve"> </w:t>
      </w:r>
      <w:r w:rsidRPr="00991937">
        <w:rPr>
          <w:rFonts w:ascii="Cambria" w:hAnsi="Cambria"/>
          <w:sz w:val="22"/>
          <w:szCs w:val="22"/>
          <w:lang w:val="en-US"/>
        </w:rPr>
        <w:t>countries</w:t>
      </w:r>
      <w:r w:rsidRPr="00991937">
        <w:t xml:space="preserve"> </w:t>
      </w:r>
      <w:r w:rsidRPr="00991937">
        <w:rPr>
          <w:rFonts w:ascii="Cambria" w:hAnsi="Cambria"/>
          <w:sz w:val="22"/>
          <w:szCs w:val="22"/>
          <w:lang w:val="en-US"/>
        </w:rPr>
        <w:t>of the program.</w:t>
      </w:r>
    </w:p>
    <w:p w14:paraId="4CE5A42E" w14:textId="20D86044" w:rsidR="00991937" w:rsidRDefault="00991937" w:rsidP="00F318F0">
      <w:pPr>
        <w:ind w:left="720"/>
        <w:jc w:val="both"/>
        <w:rPr>
          <w:rFonts w:ascii="Cambria" w:hAnsi="Cambria"/>
          <w:sz w:val="22"/>
          <w:szCs w:val="22"/>
          <w:lang w:val="en-US"/>
        </w:rPr>
      </w:pPr>
    </w:p>
    <w:p w14:paraId="18D7D4E8" w14:textId="47A9DA07" w:rsidR="009D2B7D" w:rsidRDefault="00FC2B24" w:rsidP="00CA26FA">
      <w:pPr>
        <w:ind w:left="720"/>
        <w:jc w:val="both"/>
        <w:rPr>
          <w:rFonts w:ascii="Cambria" w:hAnsi="Cambria"/>
          <w:sz w:val="22"/>
          <w:szCs w:val="22"/>
          <w:lang w:val="en-US"/>
        </w:rPr>
      </w:pPr>
      <w:r w:rsidRPr="00FC2B24">
        <w:rPr>
          <w:rFonts w:ascii="Cambria" w:hAnsi="Cambria"/>
          <w:sz w:val="22"/>
          <w:szCs w:val="22"/>
          <w:lang w:val="en-US"/>
        </w:rPr>
        <w:t xml:space="preserve">A new point of the Draft, for some cases related to socio-political organizations or VCCI who need to use ABTC cards, they must be allowed </w:t>
      </w:r>
      <w:r>
        <w:rPr>
          <w:rFonts w:ascii="Cambria" w:hAnsi="Cambria"/>
          <w:sz w:val="22"/>
          <w:szCs w:val="22"/>
          <w:lang w:val="en-US"/>
        </w:rPr>
        <w:t xml:space="preserve">to </w:t>
      </w:r>
      <w:r w:rsidRPr="00FC2B24">
        <w:rPr>
          <w:rFonts w:ascii="Cambria" w:hAnsi="Cambria"/>
          <w:sz w:val="22"/>
          <w:szCs w:val="22"/>
          <w:lang w:val="en-US"/>
        </w:rPr>
        <w:t>use ABTC card by the leaders of socio-political organizations or the President of VCCI.</w:t>
      </w:r>
      <w:r>
        <w:rPr>
          <w:rFonts w:ascii="Cambria" w:hAnsi="Cambria"/>
          <w:sz w:val="22"/>
          <w:szCs w:val="22"/>
          <w:lang w:val="en-US"/>
        </w:rPr>
        <w:t xml:space="preserve"> </w:t>
      </w:r>
      <w:r w:rsidRPr="00FC2B24">
        <w:rPr>
          <w:rFonts w:ascii="Cambria" w:hAnsi="Cambria"/>
          <w:sz w:val="22"/>
          <w:szCs w:val="22"/>
          <w:lang w:val="en-US"/>
        </w:rPr>
        <w:t>In case of necessity, the Minister of Public Security has the authority to decide to issue ABTC</w:t>
      </w:r>
      <w:r>
        <w:rPr>
          <w:rFonts w:ascii="Cambria" w:hAnsi="Cambria"/>
          <w:sz w:val="22"/>
          <w:szCs w:val="22"/>
          <w:lang w:val="en-US"/>
        </w:rPr>
        <w:t xml:space="preserve"> card</w:t>
      </w:r>
      <w:r w:rsidRPr="00FC2B24">
        <w:rPr>
          <w:rFonts w:ascii="Cambria" w:hAnsi="Cambria"/>
          <w:sz w:val="22"/>
          <w:szCs w:val="22"/>
          <w:lang w:val="en-US"/>
        </w:rPr>
        <w:t xml:space="preserve"> to other subjects who are suitable and in need.</w:t>
      </w:r>
      <w:r>
        <w:rPr>
          <w:rFonts w:ascii="Cambria" w:hAnsi="Cambria"/>
          <w:sz w:val="22"/>
          <w:szCs w:val="22"/>
          <w:lang w:val="en-US"/>
        </w:rPr>
        <w:t xml:space="preserve"> </w:t>
      </w:r>
    </w:p>
    <w:p w14:paraId="373BD0BB" w14:textId="0CC36EA7" w:rsidR="00FC2B24" w:rsidRDefault="00FC2B24" w:rsidP="00CA26FA">
      <w:pPr>
        <w:ind w:left="720"/>
        <w:jc w:val="both"/>
        <w:rPr>
          <w:rFonts w:ascii="Cambria" w:hAnsi="Cambria"/>
          <w:sz w:val="22"/>
          <w:szCs w:val="22"/>
          <w:lang w:val="en-US"/>
        </w:rPr>
      </w:pPr>
    </w:p>
    <w:p w14:paraId="4078B28B" w14:textId="286AE1BC" w:rsidR="00FC2B24" w:rsidRDefault="00FC2B24" w:rsidP="00CA26FA">
      <w:pPr>
        <w:ind w:left="720"/>
        <w:jc w:val="both"/>
        <w:rPr>
          <w:rFonts w:ascii="Cambria" w:hAnsi="Cambria"/>
          <w:sz w:val="22"/>
          <w:szCs w:val="22"/>
          <w:lang w:val="en-US"/>
        </w:rPr>
      </w:pPr>
      <w:r w:rsidRPr="00FC2B24">
        <w:rPr>
          <w:rFonts w:ascii="Cambria" w:hAnsi="Cambria"/>
          <w:sz w:val="22"/>
          <w:szCs w:val="22"/>
          <w:lang w:val="en-US"/>
        </w:rPr>
        <w:t xml:space="preserve">In addition, the Draft also stipulates that ABTC cards are valid for 5 years from the date of issue and cannot be </w:t>
      </w:r>
      <w:r>
        <w:rPr>
          <w:rFonts w:ascii="Cambria" w:hAnsi="Cambria"/>
          <w:sz w:val="22"/>
          <w:szCs w:val="22"/>
          <w:lang w:val="en-US"/>
        </w:rPr>
        <w:t>extended</w:t>
      </w:r>
      <w:r w:rsidRPr="00FC2B24">
        <w:rPr>
          <w:rFonts w:ascii="Cambria" w:hAnsi="Cambria"/>
          <w:sz w:val="22"/>
          <w:szCs w:val="22"/>
          <w:lang w:val="en-US"/>
        </w:rPr>
        <w:t>.</w:t>
      </w:r>
      <w:r w:rsidRPr="00FC2B24">
        <w:t xml:space="preserve"> </w:t>
      </w:r>
      <w:r w:rsidRPr="00FC2B24">
        <w:rPr>
          <w:rFonts w:ascii="Cambria" w:hAnsi="Cambria"/>
          <w:sz w:val="22"/>
          <w:szCs w:val="22"/>
          <w:lang w:val="en-US"/>
        </w:rPr>
        <w:t>When the ABTC card expires, if the cardholder still needs to travel within the APEC region, the procedures for applying for a new card must be carried out.</w:t>
      </w:r>
    </w:p>
    <w:p w14:paraId="2762BC18" w14:textId="11D6B38C" w:rsidR="00A8656E" w:rsidRDefault="00A8656E" w:rsidP="00CA26FA">
      <w:pPr>
        <w:ind w:left="720"/>
        <w:jc w:val="both"/>
        <w:rPr>
          <w:rFonts w:ascii="Cambria" w:hAnsi="Cambria"/>
          <w:sz w:val="22"/>
          <w:szCs w:val="22"/>
          <w:lang w:val="en-US"/>
        </w:rPr>
      </w:pPr>
    </w:p>
    <w:p w14:paraId="74B2B8A1" w14:textId="71C75972" w:rsidR="00A8656E" w:rsidRDefault="00A8656E" w:rsidP="00CA26FA">
      <w:pPr>
        <w:ind w:left="720"/>
        <w:jc w:val="both"/>
        <w:rPr>
          <w:rFonts w:ascii="Cambria" w:hAnsi="Cambria"/>
          <w:sz w:val="22"/>
          <w:szCs w:val="22"/>
          <w:lang w:val="en-US"/>
        </w:rPr>
      </w:pPr>
      <w:r w:rsidRPr="00A8656E">
        <w:rPr>
          <w:rFonts w:ascii="Cambria" w:hAnsi="Cambria"/>
          <w:sz w:val="22"/>
          <w:szCs w:val="22"/>
          <w:lang w:val="en-US"/>
        </w:rPr>
        <w:t xml:space="preserve">Procedures for </w:t>
      </w:r>
      <w:r>
        <w:rPr>
          <w:rFonts w:ascii="Cambria" w:hAnsi="Cambria"/>
          <w:sz w:val="22"/>
          <w:szCs w:val="22"/>
          <w:lang w:val="en-US"/>
        </w:rPr>
        <w:t>issuing</w:t>
      </w:r>
      <w:r w:rsidRPr="00A8656E">
        <w:rPr>
          <w:rFonts w:ascii="Cambria" w:hAnsi="Cambria"/>
          <w:sz w:val="22"/>
          <w:szCs w:val="22"/>
          <w:lang w:val="en-US"/>
        </w:rPr>
        <w:t xml:space="preserve"> ABTC</w:t>
      </w:r>
      <w:r>
        <w:rPr>
          <w:rFonts w:ascii="Cambria" w:hAnsi="Cambria"/>
          <w:sz w:val="22"/>
          <w:szCs w:val="22"/>
          <w:lang w:val="en-US"/>
        </w:rPr>
        <w:t xml:space="preserve"> cards</w:t>
      </w:r>
      <w:r w:rsidRPr="00A8656E">
        <w:rPr>
          <w:rFonts w:ascii="Cambria" w:hAnsi="Cambria"/>
          <w:sz w:val="22"/>
          <w:szCs w:val="22"/>
          <w:lang w:val="en-US"/>
        </w:rPr>
        <w:t xml:space="preserve"> to Vietnamese businessmen at the Ministry of Public Security are specified in Chapter IV of the draft Regulation,</w:t>
      </w:r>
      <w:r w:rsidRPr="00A8656E">
        <w:t xml:space="preserve"> </w:t>
      </w:r>
      <w:r w:rsidRPr="00A8656E">
        <w:rPr>
          <w:rFonts w:ascii="Cambria" w:hAnsi="Cambria"/>
          <w:sz w:val="22"/>
          <w:szCs w:val="22"/>
          <w:lang w:val="en-US"/>
        </w:rPr>
        <w:t>to Vietnamese businessmen at the Ministry of Public Security are specified in Chapter IV of the draft Regulation</w:t>
      </w:r>
      <w:r>
        <w:rPr>
          <w:rFonts w:ascii="Cambria" w:hAnsi="Cambria"/>
          <w:sz w:val="22"/>
          <w:szCs w:val="22"/>
          <w:lang w:val="en-US"/>
        </w:rPr>
        <w:t xml:space="preserve">, </w:t>
      </w:r>
      <w:r w:rsidRPr="00A8656E">
        <w:rPr>
          <w:rFonts w:ascii="Cambria" w:hAnsi="Cambria"/>
          <w:sz w:val="22"/>
          <w:szCs w:val="22"/>
          <w:lang w:val="en-US"/>
        </w:rPr>
        <w:t>in which, businessmen who are in the country, if they apply for a new or re-issued ABTC card, can apply directly at the Immigration Department, the Ministry of Public Security or</w:t>
      </w:r>
      <w:r w:rsidRPr="00A8656E">
        <w:t xml:space="preserve"> </w:t>
      </w:r>
      <w:r w:rsidRPr="00A8656E">
        <w:rPr>
          <w:rFonts w:ascii="Cambria" w:hAnsi="Cambria"/>
          <w:sz w:val="22"/>
          <w:szCs w:val="22"/>
          <w:lang w:val="en-US"/>
        </w:rPr>
        <w:t>or online at the Public Service Portal of the Ministry of Public Security.</w:t>
      </w:r>
    </w:p>
    <w:p w14:paraId="7C0A676C" w14:textId="77777777" w:rsidR="00FC2B24" w:rsidRPr="00C6709A" w:rsidRDefault="00FC2B24" w:rsidP="00CA26FA">
      <w:pPr>
        <w:ind w:left="720"/>
        <w:jc w:val="both"/>
        <w:rPr>
          <w:rFonts w:ascii="Cambria" w:hAnsi="Cambria"/>
          <w:sz w:val="22"/>
          <w:szCs w:val="22"/>
          <w:lang w:val="en-US"/>
        </w:rPr>
      </w:pPr>
    </w:p>
    <w:p w14:paraId="4C5ACF74" w14:textId="5DA2EFCA" w:rsidR="00404F64" w:rsidRPr="00C6709A" w:rsidRDefault="004339DB" w:rsidP="003B25CD">
      <w:pPr>
        <w:pStyle w:val="ListParagraph"/>
        <w:numPr>
          <w:ilvl w:val="0"/>
          <w:numId w:val="1"/>
        </w:numPr>
        <w:ind w:hanging="720"/>
        <w:jc w:val="both"/>
        <w:rPr>
          <w:rFonts w:ascii="Cambria" w:hAnsi="Cambria"/>
          <w:b/>
          <w:sz w:val="22"/>
          <w:szCs w:val="22"/>
          <w:lang w:val="en-US"/>
        </w:rPr>
      </w:pPr>
      <w:r w:rsidRPr="004339DB">
        <w:rPr>
          <w:rFonts w:ascii="Cambria" w:hAnsi="Cambria"/>
          <w:b/>
          <w:sz w:val="22"/>
          <w:szCs w:val="22"/>
          <w:lang w:val="en-US"/>
        </w:rPr>
        <w:lastRenderedPageBreak/>
        <w:t>Solving problems in reducing VAT to 8%</w:t>
      </w:r>
      <w:r w:rsidR="00711E19">
        <w:rPr>
          <w:rFonts w:ascii="Cambria" w:hAnsi="Cambria"/>
          <w:b/>
          <w:sz w:val="22"/>
          <w:szCs w:val="22"/>
          <w:lang w:val="en-US"/>
        </w:rPr>
        <w:t xml:space="preserve"> </w:t>
      </w:r>
    </w:p>
    <w:p w14:paraId="52D56337" w14:textId="77777777" w:rsidR="00404F64" w:rsidRDefault="00404F64" w:rsidP="00404F64">
      <w:pPr>
        <w:pStyle w:val="ListParagraph"/>
        <w:jc w:val="both"/>
        <w:rPr>
          <w:rFonts w:ascii="Cambria" w:hAnsi="Cambria"/>
          <w:sz w:val="22"/>
          <w:szCs w:val="22"/>
          <w:lang w:val="en-US"/>
        </w:rPr>
      </w:pPr>
    </w:p>
    <w:p w14:paraId="547D295B" w14:textId="7AF25615" w:rsidR="00A85F2C" w:rsidRDefault="00C329B1" w:rsidP="00A85F2C">
      <w:pPr>
        <w:ind w:left="720"/>
        <w:jc w:val="both"/>
        <w:rPr>
          <w:rFonts w:ascii="Cambria" w:hAnsi="Cambria"/>
          <w:sz w:val="22"/>
          <w:szCs w:val="22"/>
          <w:lang w:val="en-US"/>
        </w:rPr>
      </w:pPr>
      <w:r w:rsidRPr="00C329B1">
        <w:rPr>
          <w:rFonts w:ascii="Cambria" w:hAnsi="Cambria"/>
          <w:sz w:val="22"/>
          <w:szCs w:val="22"/>
          <w:lang w:val="en-US"/>
        </w:rPr>
        <w:t>On June 20, 2022, the Government issued Decree 41/2022/ND-CP amending and supplementing a number of articles of the Government's Decree No. 123/2020/ND-CP dated October 19, 2020 on</w:t>
      </w:r>
      <w:r>
        <w:rPr>
          <w:rFonts w:ascii="Cambria" w:hAnsi="Cambria"/>
          <w:sz w:val="22"/>
          <w:szCs w:val="22"/>
          <w:lang w:val="en-US"/>
        </w:rPr>
        <w:t xml:space="preserve"> invoices and records </w:t>
      </w:r>
      <w:r w:rsidRPr="00C329B1">
        <w:rPr>
          <w:rFonts w:ascii="Cambria" w:hAnsi="Cambria"/>
          <w:sz w:val="22"/>
          <w:szCs w:val="22"/>
          <w:lang w:val="en-US"/>
        </w:rPr>
        <w:t>and Decree No. 15/2022/ND-CP dated January 28, 2022 of the Government</w:t>
      </w:r>
      <w:r>
        <w:rPr>
          <w:rFonts w:ascii="Cambria" w:hAnsi="Cambria"/>
          <w:sz w:val="22"/>
          <w:szCs w:val="22"/>
          <w:lang w:val="en-US"/>
        </w:rPr>
        <w:t xml:space="preserve"> on tax exemption and reduction under Resolution No. 43/2022/QH15 of </w:t>
      </w:r>
      <w:r w:rsidRPr="00C329B1">
        <w:rPr>
          <w:rFonts w:ascii="Cambria" w:hAnsi="Cambria"/>
          <w:sz w:val="22"/>
          <w:szCs w:val="22"/>
          <w:lang w:val="en-US"/>
        </w:rPr>
        <w:t>the National Assembly</w:t>
      </w:r>
      <w:r>
        <w:rPr>
          <w:rFonts w:ascii="Cambria" w:hAnsi="Cambria"/>
          <w:sz w:val="22"/>
          <w:szCs w:val="22"/>
          <w:lang w:val="en-US"/>
        </w:rPr>
        <w:t xml:space="preserve"> on fiscal and monetary policies for supporting socio-economic recovery and development program. </w:t>
      </w:r>
    </w:p>
    <w:p w14:paraId="3DDD6DB9" w14:textId="72C7230D" w:rsidR="005E0F54" w:rsidRDefault="005E0F54" w:rsidP="00A85F2C">
      <w:pPr>
        <w:ind w:left="720"/>
        <w:jc w:val="both"/>
        <w:rPr>
          <w:rFonts w:ascii="Cambria" w:hAnsi="Cambria"/>
          <w:sz w:val="22"/>
          <w:szCs w:val="22"/>
          <w:lang w:val="en-US"/>
        </w:rPr>
      </w:pPr>
    </w:p>
    <w:p w14:paraId="5C98A98D" w14:textId="4AE89FDD" w:rsidR="005E0F54" w:rsidRDefault="005E0F54" w:rsidP="00A85F2C">
      <w:pPr>
        <w:ind w:left="720"/>
        <w:jc w:val="both"/>
        <w:rPr>
          <w:rFonts w:ascii="Cambria" w:hAnsi="Cambria"/>
          <w:sz w:val="22"/>
          <w:szCs w:val="22"/>
          <w:lang w:val="en-US"/>
        </w:rPr>
      </w:pPr>
      <w:r>
        <w:rPr>
          <w:rFonts w:ascii="Cambria" w:hAnsi="Cambria"/>
          <w:sz w:val="22"/>
          <w:szCs w:val="22"/>
          <w:lang w:val="en-US"/>
        </w:rPr>
        <w:t xml:space="preserve">In order to </w:t>
      </w:r>
      <w:r w:rsidR="005C506F" w:rsidRPr="005C506F">
        <w:rPr>
          <w:rFonts w:ascii="Cambria" w:hAnsi="Cambria"/>
          <w:sz w:val="22"/>
          <w:szCs w:val="22"/>
          <w:lang w:val="en-US"/>
        </w:rPr>
        <w:t>solve problems in issuing invoices for goods and services that are subject to VAT reduction, ensuring compliance with the contents of the invoice, the Government issued Decree 41/2022/ND -CP with the following modifications:</w:t>
      </w:r>
    </w:p>
    <w:p w14:paraId="5949CD2E" w14:textId="7F514D20" w:rsidR="005C506F" w:rsidRDefault="005C506F" w:rsidP="00A85F2C">
      <w:pPr>
        <w:ind w:left="720"/>
        <w:jc w:val="both"/>
        <w:rPr>
          <w:rFonts w:ascii="Cambria" w:hAnsi="Cambria"/>
          <w:sz w:val="22"/>
          <w:szCs w:val="22"/>
          <w:lang w:val="en-US"/>
        </w:rPr>
      </w:pPr>
    </w:p>
    <w:p w14:paraId="17E51879" w14:textId="7D082076" w:rsidR="005C506F" w:rsidRDefault="00C81F37" w:rsidP="00C81F37">
      <w:pPr>
        <w:pStyle w:val="ListParagraph"/>
        <w:numPr>
          <w:ilvl w:val="0"/>
          <w:numId w:val="16"/>
        </w:numPr>
        <w:jc w:val="both"/>
        <w:rPr>
          <w:rFonts w:ascii="Cambria" w:hAnsi="Cambria"/>
          <w:sz w:val="22"/>
          <w:szCs w:val="22"/>
          <w:lang w:val="en-US"/>
        </w:rPr>
      </w:pPr>
      <w:r w:rsidRPr="00C81F37">
        <w:rPr>
          <w:rFonts w:ascii="Cambria" w:hAnsi="Cambria"/>
          <w:sz w:val="22"/>
          <w:szCs w:val="22"/>
          <w:lang w:val="en-US"/>
        </w:rPr>
        <w:t>I</w:t>
      </w:r>
      <w:r>
        <w:rPr>
          <w:rFonts w:ascii="Cambria" w:hAnsi="Cambria"/>
          <w:sz w:val="22"/>
          <w:szCs w:val="22"/>
          <w:lang w:val="en-US"/>
        </w:rPr>
        <w:t>n case</w:t>
      </w:r>
      <w:r w:rsidRPr="00C81F37">
        <w:rPr>
          <w:rFonts w:ascii="Cambria" w:hAnsi="Cambria"/>
          <w:sz w:val="22"/>
          <w:szCs w:val="22"/>
          <w:lang w:val="en-US"/>
        </w:rPr>
        <w:t xml:space="preserve"> business establishments using the VAT deduction method apply different tax rates when selling goods or providing services, their VAT invoices must state the tax rates of each commodity and service.</w:t>
      </w:r>
    </w:p>
    <w:p w14:paraId="1E5E39EB" w14:textId="1FE0C05E" w:rsidR="00C81F37" w:rsidRDefault="00C81F37" w:rsidP="00C81F37">
      <w:pPr>
        <w:pStyle w:val="ListParagraph"/>
        <w:ind w:left="1080"/>
        <w:jc w:val="both"/>
        <w:rPr>
          <w:rFonts w:ascii="Cambria" w:hAnsi="Cambria"/>
          <w:sz w:val="22"/>
          <w:szCs w:val="22"/>
          <w:lang w:val="en-US"/>
        </w:rPr>
      </w:pPr>
    </w:p>
    <w:p w14:paraId="0C40A161" w14:textId="0E755CFC" w:rsidR="00C81F37" w:rsidRDefault="00C81F37" w:rsidP="00C81F37">
      <w:pPr>
        <w:pStyle w:val="ListParagraph"/>
        <w:numPr>
          <w:ilvl w:val="0"/>
          <w:numId w:val="16"/>
        </w:numPr>
        <w:jc w:val="both"/>
        <w:rPr>
          <w:rFonts w:ascii="Cambria" w:hAnsi="Cambria"/>
          <w:sz w:val="22"/>
          <w:szCs w:val="22"/>
          <w:lang w:val="en-US"/>
        </w:rPr>
      </w:pPr>
      <w:r w:rsidRPr="00C81F37">
        <w:rPr>
          <w:rFonts w:ascii="Cambria" w:hAnsi="Cambria"/>
          <w:sz w:val="22"/>
          <w:szCs w:val="22"/>
          <w:lang w:val="en-US"/>
        </w:rPr>
        <w:t>I</w:t>
      </w:r>
      <w:r>
        <w:rPr>
          <w:rFonts w:ascii="Cambria" w:hAnsi="Cambria"/>
          <w:sz w:val="22"/>
          <w:szCs w:val="22"/>
          <w:lang w:val="en-US"/>
        </w:rPr>
        <w:t>n case</w:t>
      </w:r>
      <w:r w:rsidRPr="00C81F37">
        <w:rPr>
          <w:rFonts w:ascii="Cambria" w:hAnsi="Cambria"/>
          <w:sz w:val="22"/>
          <w:szCs w:val="22"/>
          <w:lang w:val="en-US"/>
        </w:rPr>
        <w:t xml:space="preserve"> business establishments us</w:t>
      </w:r>
      <w:r w:rsidR="002804DD">
        <w:rPr>
          <w:rFonts w:ascii="Cambria" w:hAnsi="Cambria"/>
          <w:sz w:val="22"/>
          <w:szCs w:val="22"/>
          <w:lang w:val="en-US"/>
        </w:rPr>
        <w:t>e</w:t>
      </w:r>
      <w:r>
        <w:rPr>
          <w:rFonts w:ascii="Cambria" w:hAnsi="Cambria"/>
          <w:sz w:val="22"/>
          <w:szCs w:val="22"/>
          <w:lang w:val="en-US"/>
        </w:rPr>
        <w:t xml:space="preserve"> </w:t>
      </w:r>
      <w:r w:rsidR="00BA55C4">
        <w:rPr>
          <w:rFonts w:ascii="Cambria" w:hAnsi="Cambria"/>
          <w:sz w:val="22"/>
          <w:szCs w:val="22"/>
          <w:lang w:val="en-US"/>
        </w:rPr>
        <w:t xml:space="preserve">the VAT </w:t>
      </w:r>
      <w:r w:rsidR="00BA55C4" w:rsidRPr="00BA55C4">
        <w:rPr>
          <w:rFonts w:ascii="Cambria" w:hAnsi="Cambria"/>
          <w:sz w:val="22"/>
          <w:szCs w:val="22"/>
          <w:lang w:val="en-US"/>
        </w:rPr>
        <w:t>% on revenue method</w:t>
      </w:r>
      <w:r w:rsidR="002804DD" w:rsidRPr="002804DD">
        <w:rPr>
          <w:rFonts w:ascii="Cambria" w:hAnsi="Cambria"/>
          <w:sz w:val="22"/>
          <w:szCs w:val="22"/>
          <w:lang w:val="en-US"/>
        </w:rPr>
        <w:t xml:space="preserve"> </w:t>
      </w:r>
      <w:r w:rsidR="002804DD" w:rsidRPr="00C81F37">
        <w:rPr>
          <w:rFonts w:ascii="Cambria" w:hAnsi="Cambria"/>
          <w:sz w:val="22"/>
          <w:szCs w:val="22"/>
          <w:lang w:val="en-US"/>
        </w:rPr>
        <w:t>when selling goods or providing services</w:t>
      </w:r>
      <w:r w:rsidR="002804DD">
        <w:rPr>
          <w:rFonts w:ascii="Cambria" w:hAnsi="Cambria"/>
          <w:sz w:val="22"/>
          <w:szCs w:val="22"/>
          <w:lang w:val="en-US"/>
        </w:rPr>
        <w:t xml:space="preserve">, </w:t>
      </w:r>
      <w:r w:rsidR="002804DD" w:rsidRPr="002804DD">
        <w:rPr>
          <w:rFonts w:ascii="Cambria" w:hAnsi="Cambria"/>
          <w:sz w:val="22"/>
          <w:szCs w:val="22"/>
          <w:lang w:val="en-US"/>
        </w:rPr>
        <w:t>their sales invoices must state the reduced money when selling goods and providing services.</w:t>
      </w:r>
    </w:p>
    <w:p w14:paraId="1B9180B3" w14:textId="77777777" w:rsidR="002804DD" w:rsidRPr="002804DD" w:rsidRDefault="002804DD" w:rsidP="002804DD">
      <w:pPr>
        <w:pStyle w:val="ListParagraph"/>
        <w:rPr>
          <w:rFonts w:ascii="Cambria" w:hAnsi="Cambria"/>
          <w:sz w:val="22"/>
          <w:szCs w:val="22"/>
          <w:lang w:val="en-US"/>
        </w:rPr>
      </w:pPr>
    </w:p>
    <w:p w14:paraId="477CD8AF" w14:textId="32FDD124" w:rsidR="002804DD" w:rsidRDefault="002804DD" w:rsidP="002804DD">
      <w:pPr>
        <w:ind w:left="360"/>
        <w:jc w:val="both"/>
        <w:rPr>
          <w:rFonts w:ascii="Cambria" w:hAnsi="Cambria"/>
          <w:sz w:val="22"/>
          <w:szCs w:val="22"/>
          <w:lang w:val="en-US"/>
        </w:rPr>
      </w:pPr>
      <w:r w:rsidRPr="00C329B1">
        <w:rPr>
          <w:rFonts w:ascii="Cambria" w:hAnsi="Cambria"/>
          <w:sz w:val="22"/>
          <w:szCs w:val="22"/>
          <w:lang w:val="en-US"/>
        </w:rPr>
        <w:t>Decree 41/2022/ND-CP</w:t>
      </w:r>
      <w:r>
        <w:rPr>
          <w:rFonts w:ascii="Cambria" w:hAnsi="Cambria"/>
          <w:sz w:val="22"/>
          <w:szCs w:val="22"/>
          <w:lang w:val="en-US"/>
        </w:rPr>
        <w:t xml:space="preserve"> </w:t>
      </w:r>
      <w:r w:rsidRPr="002804DD">
        <w:rPr>
          <w:rFonts w:ascii="Cambria" w:hAnsi="Cambria"/>
          <w:sz w:val="22"/>
          <w:szCs w:val="22"/>
          <w:lang w:val="en-US"/>
        </w:rPr>
        <w:t>comes into force as of its date of signing.</w:t>
      </w:r>
      <w:r w:rsidRPr="002804DD">
        <w:t xml:space="preserve"> </w:t>
      </w:r>
      <w:r w:rsidRPr="002804DD">
        <w:rPr>
          <w:rFonts w:ascii="Cambria" w:hAnsi="Cambria"/>
          <w:sz w:val="22"/>
          <w:szCs w:val="22"/>
          <w:lang w:val="en-US"/>
        </w:rPr>
        <w:t>From February 1, 2022 to when Decree 41/2022/ND-CP  comes into force, business establishments that have followed regulations prescribed in Article 2 of Decree 41/2022/ND-CP are still eligible for VAT reduction, exemption from invoice adjustment, and not subject to administrative violations of tax and invoices.</w:t>
      </w:r>
    </w:p>
    <w:p w14:paraId="4E4D1211" w14:textId="7DBAF4A8" w:rsidR="003021F8" w:rsidRDefault="003021F8" w:rsidP="002804DD">
      <w:pPr>
        <w:ind w:left="360"/>
        <w:jc w:val="both"/>
        <w:rPr>
          <w:rFonts w:ascii="Cambria" w:hAnsi="Cambria"/>
          <w:sz w:val="22"/>
          <w:szCs w:val="22"/>
          <w:lang w:val="en-US"/>
        </w:rPr>
      </w:pPr>
    </w:p>
    <w:p w14:paraId="6CD7993C" w14:textId="77777777" w:rsidR="003021F8" w:rsidRPr="00617038" w:rsidRDefault="003021F8" w:rsidP="003021F8">
      <w:pPr>
        <w:pStyle w:val="ListParagraph"/>
        <w:numPr>
          <w:ilvl w:val="0"/>
          <w:numId w:val="1"/>
        </w:numPr>
        <w:ind w:hanging="720"/>
        <w:jc w:val="both"/>
        <w:rPr>
          <w:rFonts w:ascii="Cambria" w:hAnsi="Cambria"/>
          <w:b/>
          <w:bCs/>
          <w:sz w:val="22"/>
          <w:szCs w:val="22"/>
          <w:lang w:val="en-US"/>
        </w:rPr>
      </w:pPr>
      <w:r>
        <w:rPr>
          <w:rFonts w:ascii="Cambria" w:hAnsi="Cambria"/>
          <w:b/>
          <w:bCs/>
          <w:sz w:val="22"/>
          <w:szCs w:val="22"/>
          <w:lang w:val="en-US"/>
        </w:rPr>
        <w:t>Issue of p</w:t>
      </w:r>
      <w:r w:rsidRPr="00617038">
        <w:rPr>
          <w:rFonts w:ascii="Cambria" w:hAnsi="Cambria"/>
          <w:b/>
          <w:bCs/>
          <w:sz w:val="22"/>
          <w:szCs w:val="22"/>
          <w:lang w:val="en-US"/>
        </w:rPr>
        <w:t xml:space="preserve">eople with a lot of real estate </w:t>
      </w:r>
      <w:r>
        <w:rPr>
          <w:rFonts w:ascii="Cambria" w:hAnsi="Cambria"/>
          <w:b/>
          <w:bCs/>
          <w:sz w:val="22"/>
          <w:szCs w:val="22"/>
          <w:lang w:val="en-US"/>
        </w:rPr>
        <w:t>and</w:t>
      </w:r>
      <w:r w:rsidRPr="00617038">
        <w:rPr>
          <w:rFonts w:ascii="Cambria" w:hAnsi="Cambria"/>
          <w:b/>
          <w:bCs/>
          <w:sz w:val="22"/>
          <w:szCs w:val="22"/>
          <w:lang w:val="en-US"/>
        </w:rPr>
        <w:t xml:space="preserve"> high </w:t>
      </w:r>
      <w:r>
        <w:rPr>
          <w:rFonts w:ascii="Cambria" w:hAnsi="Cambria"/>
          <w:b/>
          <w:bCs/>
          <w:sz w:val="22"/>
          <w:szCs w:val="22"/>
          <w:lang w:val="en-US"/>
        </w:rPr>
        <w:t xml:space="preserve">tax </w:t>
      </w:r>
      <w:r w:rsidRPr="00617038">
        <w:rPr>
          <w:rFonts w:ascii="Cambria" w:hAnsi="Cambria"/>
          <w:b/>
          <w:bCs/>
          <w:sz w:val="22"/>
          <w:szCs w:val="22"/>
          <w:lang w:val="en-US"/>
        </w:rPr>
        <w:t>rate</w:t>
      </w:r>
    </w:p>
    <w:p w14:paraId="261E7840" w14:textId="77777777" w:rsidR="003021F8" w:rsidRDefault="003021F8" w:rsidP="003021F8">
      <w:pPr>
        <w:pStyle w:val="ListParagraph"/>
        <w:jc w:val="both"/>
        <w:rPr>
          <w:rFonts w:ascii="Cambria" w:hAnsi="Cambria"/>
          <w:b/>
          <w:bCs/>
          <w:sz w:val="22"/>
          <w:szCs w:val="22"/>
          <w:lang w:val="en-US"/>
        </w:rPr>
      </w:pPr>
    </w:p>
    <w:p w14:paraId="79F806FD" w14:textId="77777777" w:rsidR="003021F8" w:rsidRDefault="003021F8" w:rsidP="003021F8">
      <w:pPr>
        <w:pStyle w:val="ListParagraph"/>
        <w:jc w:val="both"/>
        <w:rPr>
          <w:rFonts w:ascii="Cambria" w:hAnsi="Cambria"/>
          <w:sz w:val="22"/>
          <w:szCs w:val="22"/>
          <w:lang w:val="en-US"/>
        </w:rPr>
      </w:pPr>
      <w:r w:rsidRPr="005C3AF7">
        <w:rPr>
          <w:rFonts w:ascii="Cambria" w:hAnsi="Cambria"/>
          <w:sz w:val="22"/>
          <w:szCs w:val="22"/>
          <w:lang w:val="en-US"/>
        </w:rPr>
        <w:t>Recently, the</w:t>
      </w:r>
      <w:r>
        <w:rPr>
          <w:rFonts w:ascii="Cambria" w:hAnsi="Cambria"/>
          <w:sz w:val="22"/>
          <w:szCs w:val="22"/>
          <w:lang w:val="en-US"/>
        </w:rPr>
        <w:t xml:space="preserve"> </w:t>
      </w:r>
      <w:r w:rsidRPr="005C3AF7">
        <w:rPr>
          <w:rFonts w:ascii="Cambria" w:hAnsi="Cambria"/>
          <w:sz w:val="22"/>
          <w:szCs w:val="22"/>
          <w:lang w:val="en-US"/>
        </w:rPr>
        <w:t>Central Committee of the Communist Party</w:t>
      </w:r>
      <w:r>
        <w:rPr>
          <w:rFonts w:ascii="Cambria" w:hAnsi="Cambria"/>
          <w:sz w:val="22"/>
          <w:szCs w:val="22"/>
          <w:lang w:val="en-US"/>
        </w:rPr>
        <w:t xml:space="preserve"> </w:t>
      </w:r>
      <w:r w:rsidRPr="005C3AF7">
        <w:rPr>
          <w:rFonts w:ascii="Cambria" w:hAnsi="Cambria"/>
          <w:sz w:val="22"/>
          <w:szCs w:val="22"/>
          <w:lang w:val="en-US"/>
        </w:rPr>
        <w:t>issued a Resolution of the 5th Plenum of the 13th Central Committee on</w:t>
      </w:r>
      <w:r>
        <w:rPr>
          <w:rFonts w:ascii="Cambria" w:hAnsi="Cambria"/>
          <w:sz w:val="22"/>
          <w:szCs w:val="22"/>
          <w:lang w:val="en-US"/>
        </w:rPr>
        <w:t xml:space="preserve"> </w:t>
      </w:r>
      <w:r w:rsidRPr="00B21C34">
        <w:rPr>
          <w:rFonts w:ascii="Cambria" w:hAnsi="Cambria"/>
          <w:sz w:val="22"/>
          <w:szCs w:val="22"/>
          <w:lang w:val="en-US"/>
        </w:rPr>
        <w:t>"Continuing to</w:t>
      </w:r>
      <w:r>
        <w:rPr>
          <w:rFonts w:ascii="Cambria" w:hAnsi="Cambria"/>
          <w:sz w:val="22"/>
          <w:szCs w:val="22"/>
          <w:lang w:val="en-US"/>
        </w:rPr>
        <w:t xml:space="preserve"> </w:t>
      </w:r>
      <w:r w:rsidRPr="00B21C34">
        <w:rPr>
          <w:rFonts w:ascii="Cambria" w:hAnsi="Cambria"/>
          <w:sz w:val="22"/>
          <w:szCs w:val="22"/>
          <w:lang w:val="en-US"/>
        </w:rPr>
        <w:t>innovate and</w:t>
      </w:r>
      <w:r>
        <w:rPr>
          <w:rFonts w:ascii="Cambria" w:hAnsi="Cambria"/>
          <w:sz w:val="22"/>
          <w:szCs w:val="22"/>
          <w:lang w:val="en-US"/>
        </w:rPr>
        <w:t xml:space="preserve"> complete the </w:t>
      </w:r>
      <w:r w:rsidRPr="00B21C34">
        <w:rPr>
          <w:rFonts w:ascii="Cambria" w:hAnsi="Cambria"/>
          <w:sz w:val="22"/>
          <w:szCs w:val="22"/>
          <w:lang w:val="en-US"/>
        </w:rPr>
        <w:t>institutions and policies,</w:t>
      </w:r>
      <w:r>
        <w:rPr>
          <w:rFonts w:ascii="Cambria" w:hAnsi="Cambria"/>
          <w:sz w:val="22"/>
          <w:szCs w:val="22"/>
          <w:lang w:val="en-US"/>
        </w:rPr>
        <w:t xml:space="preserve"> </w:t>
      </w:r>
      <w:r w:rsidRPr="00B21C34">
        <w:rPr>
          <w:rFonts w:ascii="Cambria" w:hAnsi="Cambria"/>
          <w:sz w:val="22"/>
          <w:szCs w:val="22"/>
          <w:lang w:val="en-US"/>
        </w:rPr>
        <w:t>improve the effectiveness and efficiency of land management and use,</w:t>
      </w:r>
      <w:r w:rsidRPr="00E71EF8">
        <w:t xml:space="preserve"> </w:t>
      </w:r>
      <w:r w:rsidRPr="00E71EF8">
        <w:rPr>
          <w:rFonts w:ascii="Cambria" w:hAnsi="Cambria"/>
          <w:sz w:val="22"/>
          <w:szCs w:val="22"/>
          <w:lang w:val="en-US"/>
        </w:rPr>
        <w:t>contribute to turning our country into a high-income developed country</w:t>
      </w:r>
      <w:r>
        <w:rPr>
          <w:rFonts w:ascii="Cambria" w:hAnsi="Cambria"/>
          <w:sz w:val="22"/>
          <w:szCs w:val="22"/>
          <w:lang w:val="en-US"/>
        </w:rPr>
        <w:t xml:space="preserve">”. </w:t>
      </w:r>
      <w:r w:rsidRPr="00E71EF8">
        <w:rPr>
          <w:rFonts w:ascii="Cambria" w:hAnsi="Cambria"/>
          <w:sz w:val="22"/>
          <w:szCs w:val="22"/>
          <w:lang w:val="en-US"/>
        </w:rPr>
        <w:t>Accordingly, Resolution No. 18-NQ/TW</w:t>
      </w:r>
      <w:r>
        <w:rPr>
          <w:rFonts w:ascii="Cambria" w:hAnsi="Cambria"/>
          <w:sz w:val="22"/>
          <w:szCs w:val="22"/>
          <w:lang w:val="en-US"/>
        </w:rPr>
        <w:t xml:space="preserve"> points the view </w:t>
      </w:r>
      <w:r w:rsidRPr="00E71EF8">
        <w:rPr>
          <w:rFonts w:ascii="Cambria" w:hAnsi="Cambria"/>
          <w:sz w:val="22"/>
          <w:szCs w:val="22"/>
          <w:lang w:val="en-US"/>
        </w:rPr>
        <w:t>on land ownership; institutions, policies on land, etc.</w:t>
      </w:r>
      <w:r>
        <w:rPr>
          <w:rFonts w:ascii="Cambria" w:hAnsi="Cambria"/>
          <w:sz w:val="22"/>
          <w:szCs w:val="22"/>
          <w:lang w:val="en-US"/>
        </w:rPr>
        <w:t xml:space="preserve"> </w:t>
      </w:r>
      <w:r w:rsidRPr="008C757A">
        <w:rPr>
          <w:rFonts w:ascii="Cambria" w:hAnsi="Cambria"/>
          <w:sz w:val="22"/>
          <w:szCs w:val="22"/>
          <w:lang w:val="en-US"/>
        </w:rPr>
        <w:t>Along with that, there are a series of specific goals and solutions for implementation in the near future.</w:t>
      </w:r>
      <w:r>
        <w:rPr>
          <w:rFonts w:ascii="Cambria" w:hAnsi="Cambria"/>
          <w:sz w:val="22"/>
          <w:szCs w:val="22"/>
          <w:lang w:val="en-US"/>
        </w:rPr>
        <w:t xml:space="preserve"> I</w:t>
      </w:r>
      <w:r w:rsidRPr="0020726E">
        <w:rPr>
          <w:rFonts w:ascii="Cambria" w:hAnsi="Cambria"/>
          <w:sz w:val="22"/>
          <w:szCs w:val="22"/>
          <w:lang w:val="en-US"/>
        </w:rPr>
        <w:t>n particular, the content that</w:t>
      </w:r>
      <w:r w:rsidRPr="0020726E">
        <w:rPr>
          <w:rFonts w:ascii="Cambria" w:hAnsi="Cambria"/>
          <w:b/>
          <w:bCs/>
          <w:sz w:val="22"/>
          <w:szCs w:val="22"/>
          <w:lang w:val="en-US"/>
        </w:rPr>
        <w:t xml:space="preserve"> </w:t>
      </w:r>
      <w:r>
        <w:rPr>
          <w:rFonts w:ascii="Cambria" w:hAnsi="Cambria"/>
          <w:sz w:val="22"/>
          <w:szCs w:val="22"/>
          <w:lang w:val="en-US"/>
        </w:rPr>
        <w:t>p</w:t>
      </w:r>
      <w:r w:rsidRPr="0020726E">
        <w:rPr>
          <w:rFonts w:ascii="Cambria" w:hAnsi="Cambria"/>
          <w:sz w:val="22"/>
          <w:szCs w:val="22"/>
          <w:lang w:val="en-US"/>
        </w:rPr>
        <w:t xml:space="preserve">eople with </w:t>
      </w:r>
      <w:r>
        <w:rPr>
          <w:rFonts w:ascii="Cambria" w:hAnsi="Cambria"/>
          <w:sz w:val="22"/>
          <w:szCs w:val="22"/>
          <w:lang w:val="en-US"/>
        </w:rPr>
        <w:t>a lot of</w:t>
      </w:r>
      <w:r w:rsidRPr="0020726E">
        <w:rPr>
          <w:rFonts w:ascii="Cambria" w:hAnsi="Cambria"/>
          <w:sz w:val="22"/>
          <w:szCs w:val="22"/>
          <w:lang w:val="en-US"/>
        </w:rPr>
        <w:t xml:space="preserve"> real estate will be taxed at a high rate</w:t>
      </w:r>
      <w:r>
        <w:rPr>
          <w:rFonts w:ascii="Cambria" w:hAnsi="Cambria"/>
          <w:sz w:val="22"/>
          <w:szCs w:val="22"/>
          <w:lang w:val="en-US"/>
        </w:rPr>
        <w:t xml:space="preserve"> </w:t>
      </w:r>
      <w:r w:rsidRPr="0020726E">
        <w:rPr>
          <w:rFonts w:ascii="Cambria" w:hAnsi="Cambria"/>
          <w:sz w:val="22"/>
          <w:szCs w:val="22"/>
          <w:lang w:val="en-US"/>
        </w:rPr>
        <w:t>is the most noticeable.</w:t>
      </w:r>
    </w:p>
    <w:p w14:paraId="3B310CA6" w14:textId="77777777" w:rsidR="003021F8" w:rsidRPr="0020726E" w:rsidRDefault="003021F8" w:rsidP="003021F8">
      <w:pPr>
        <w:pStyle w:val="ListParagraph"/>
        <w:rPr>
          <w:rFonts w:ascii="Cambria" w:hAnsi="Cambria"/>
          <w:sz w:val="22"/>
          <w:szCs w:val="22"/>
          <w:lang w:val="en-US"/>
        </w:rPr>
      </w:pPr>
    </w:p>
    <w:p w14:paraId="63BF1624" w14:textId="77777777" w:rsidR="003021F8" w:rsidRDefault="003021F8" w:rsidP="003021F8">
      <w:pPr>
        <w:ind w:left="720"/>
        <w:jc w:val="both"/>
        <w:rPr>
          <w:rFonts w:ascii="Cambria" w:hAnsi="Cambria"/>
          <w:sz w:val="22"/>
          <w:szCs w:val="22"/>
          <w:lang w:val="en-US"/>
        </w:rPr>
      </w:pPr>
      <w:r w:rsidRPr="00086347">
        <w:rPr>
          <w:rFonts w:ascii="Cambria" w:hAnsi="Cambria"/>
          <w:sz w:val="22"/>
          <w:szCs w:val="22"/>
          <w:lang w:val="en-US"/>
        </w:rPr>
        <w:t>In the section</w:t>
      </w:r>
      <w:r>
        <w:rPr>
          <w:rFonts w:ascii="Cambria" w:hAnsi="Cambria"/>
          <w:sz w:val="22"/>
          <w:szCs w:val="22"/>
          <w:lang w:val="en-US"/>
        </w:rPr>
        <w:t xml:space="preserve"> “</w:t>
      </w:r>
      <w:r w:rsidRPr="00086347">
        <w:rPr>
          <w:rFonts w:ascii="Cambria" w:hAnsi="Cambria"/>
          <w:sz w:val="22"/>
          <w:szCs w:val="22"/>
          <w:lang w:val="en-US"/>
        </w:rPr>
        <w:t>Completing financial mechanisms and policies on land</w:t>
      </w:r>
      <w:r>
        <w:rPr>
          <w:rFonts w:ascii="Cambria" w:hAnsi="Cambria"/>
          <w:sz w:val="22"/>
          <w:szCs w:val="22"/>
          <w:lang w:val="en-US"/>
        </w:rPr>
        <w:t xml:space="preserve">”, </w:t>
      </w:r>
      <w:r w:rsidRPr="00086347">
        <w:rPr>
          <w:rFonts w:ascii="Cambria" w:hAnsi="Cambria"/>
          <w:sz w:val="22"/>
          <w:szCs w:val="22"/>
          <w:lang w:val="en-US"/>
        </w:rPr>
        <w:t>Resolution No. 18-NQ/TW clarifies:</w:t>
      </w:r>
      <w:r>
        <w:rPr>
          <w:rFonts w:ascii="Cambria" w:hAnsi="Cambria"/>
          <w:sz w:val="22"/>
          <w:szCs w:val="22"/>
          <w:lang w:val="en-US"/>
        </w:rPr>
        <w:t xml:space="preserve"> </w:t>
      </w:r>
      <w:r w:rsidRPr="00086347">
        <w:rPr>
          <w:rFonts w:ascii="Cambria" w:hAnsi="Cambria"/>
          <w:sz w:val="22"/>
          <w:szCs w:val="22"/>
          <w:lang w:val="en-US"/>
        </w:rPr>
        <w:t>Prescribing higher tax rates for users of large areas of land, many houses, land speculation,</w:t>
      </w:r>
      <w:r>
        <w:rPr>
          <w:rFonts w:ascii="Cambria" w:hAnsi="Cambria"/>
          <w:sz w:val="22"/>
          <w:szCs w:val="22"/>
          <w:lang w:val="en-US"/>
        </w:rPr>
        <w:t xml:space="preserve"> </w:t>
      </w:r>
      <w:r w:rsidRPr="00086347">
        <w:rPr>
          <w:rFonts w:ascii="Cambria" w:hAnsi="Cambria"/>
          <w:sz w:val="22"/>
          <w:szCs w:val="22"/>
          <w:lang w:val="en-US"/>
        </w:rPr>
        <w:t>low land use, and abandoned land.</w:t>
      </w:r>
    </w:p>
    <w:p w14:paraId="34C15B1D" w14:textId="77777777" w:rsidR="003021F8" w:rsidRDefault="003021F8" w:rsidP="003021F8">
      <w:pPr>
        <w:ind w:left="720"/>
        <w:jc w:val="both"/>
        <w:rPr>
          <w:rFonts w:ascii="Cambria" w:hAnsi="Cambria"/>
          <w:sz w:val="22"/>
          <w:szCs w:val="22"/>
          <w:lang w:val="en-US"/>
        </w:rPr>
      </w:pPr>
    </w:p>
    <w:p w14:paraId="78D140EC" w14:textId="77777777" w:rsidR="003021F8" w:rsidRDefault="003021F8" w:rsidP="003021F8">
      <w:pPr>
        <w:ind w:left="720"/>
        <w:jc w:val="both"/>
        <w:rPr>
          <w:rFonts w:ascii="Cambria" w:hAnsi="Cambria"/>
          <w:sz w:val="22"/>
          <w:szCs w:val="22"/>
          <w:lang w:val="en-US"/>
        </w:rPr>
      </w:pPr>
      <w:r w:rsidRPr="00086347">
        <w:rPr>
          <w:rFonts w:ascii="Cambria" w:hAnsi="Cambria"/>
          <w:sz w:val="22"/>
          <w:szCs w:val="22"/>
          <w:lang w:val="en-US"/>
        </w:rPr>
        <w:t>The reason for this regulation is the fact that many people rush to trade land and speculate on land, which leads to unreasonably high land prices.</w:t>
      </w:r>
      <w:r w:rsidRPr="00C96249">
        <w:t xml:space="preserve"> </w:t>
      </w:r>
      <w:r w:rsidRPr="00C96249">
        <w:rPr>
          <w:rFonts w:ascii="Cambria" w:hAnsi="Cambria"/>
          <w:sz w:val="22"/>
          <w:szCs w:val="22"/>
          <w:lang w:val="en-US"/>
        </w:rPr>
        <w:t>The money in the society flowing into real estate will not create motivation and there will be no capital for investment in economic development.</w:t>
      </w:r>
      <w:r>
        <w:rPr>
          <w:rFonts w:ascii="Cambria" w:hAnsi="Cambria"/>
          <w:sz w:val="22"/>
          <w:szCs w:val="22"/>
          <w:lang w:val="en-US"/>
        </w:rPr>
        <w:t xml:space="preserve"> </w:t>
      </w:r>
      <w:r w:rsidRPr="00C96249">
        <w:rPr>
          <w:rFonts w:ascii="Cambria" w:hAnsi="Cambria"/>
          <w:sz w:val="22"/>
          <w:szCs w:val="22"/>
          <w:lang w:val="en-US"/>
        </w:rPr>
        <w:t>Collecting land and waiting for an increas</w:t>
      </w:r>
      <w:r>
        <w:rPr>
          <w:rFonts w:ascii="Cambria" w:hAnsi="Cambria"/>
          <w:sz w:val="22"/>
          <w:szCs w:val="22"/>
          <w:lang w:val="en-US"/>
        </w:rPr>
        <w:t>ing</w:t>
      </w:r>
      <w:r w:rsidRPr="00C96249">
        <w:rPr>
          <w:rFonts w:ascii="Cambria" w:hAnsi="Cambria"/>
          <w:sz w:val="22"/>
          <w:szCs w:val="22"/>
          <w:lang w:val="en-US"/>
        </w:rPr>
        <w:t xml:space="preserve"> price to sell does not create any benefits for society.</w:t>
      </w:r>
      <w:r>
        <w:rPr>
          <w:rFonts w:ascii="Cambria" w:hAnsi="Cambria"/>
          <w:sz w:val="22"/>
          <w:szCs w:val="22"/>
          <w:lang w:val="en-US"/>
        </w:rPr>
        <w:t xml:space="preserve"> </w:t>
      </w:r>
      <w:r w:rsidRPr="00C96249">
        <w:rPr>
          <w:rFonts w:ascii="Cambria" w:hAnsi="Cambria"/>
          <w:sz w:val="22"/>
          <w:szCs w:val="22"/>
          <w:lang w:val="en-US"/>
        </w:rPr>
        <w:t>Limiting</w:t>
      </w:r>
      <w:r>
        <w:rPr>
          <w:rFonts w:ascii="Cambria" w:hAnsi="Cambria"/>
          <w:sz w:val="22"/>
          <w:szCs w:val="22"/>
          <w:lang w:val="en-US"/>
        </w:rPr>
        <w:t xml:space="preserve"> the</w:t>
      </w:r>
      <w:r w:rsidRPr="00C96249">
        <w:rPr>
          <w:rFonts w:ascii="Cambria" w:hAnsi="Cambria"/>
          <w:sz w:val="22"/>
          <w:szCs w:val="22"/>
          <w:lang w:val="en-US"/>
        </w:rPr>
        <w:t xml:space="preserve"> real estate speculation will create fairness among land users</w:t>
      </w:r>
      <w:r>
        <w:rPr>
          <w:rFonts w:ascii="Cambria" w:hAnsi="Cambria"/>
          <w:sz w:val="22"/>
          <w:szCs w:val="22"/>
          <w:lang w:val="en-US"/>
        </w:rPr>
        <w:t xml:space="preserve"> </w:t>
      </w:r>
      <w:r w:rsidRPr="00C96249">
        <w:rPr>
          <w:rFonts w:ascii="Cambria" w:hAnsi="Cambria"/>
          <w:sz w:val="22"/>
          <w:szCs w:val="22"/>
          <w:lang w:val="en-US"/>
        </w:rPr>
        <w:t>and help develop real estate effectively.</w:t>
      </w:r>
    </w:p>
    <w:p w14:paraId="0EB49253" w14:textId="77777777" w:rsidR="003021F8" w:rsidRDefault="003021F8" w:rsidP="003021F8">
      <w:pPr>
        <w:ind w:left="720"/>
        <w:jc w:val="both"/>
        <w:rPr>
          <w:rFonts w:ascii="Cambria" w:hAnsi="Cambria"/>
          <w:sz w:val="22"/>
          <w:szCs w:val="22"/>
          <w:lang w:val="en-US"/>
        </w:rPr>
      </w:pPr>
    </w:p>
    <w:p w14:paraId="405E45E8" w14:textId="77777777" w:rsidR="003021F8" w:rsidRDefault="003021F8" w:rsidP="003021F8">
      <w:pPr>
        <w:ind w:left="720"/>
        <w:jc w:val="both"/>
        <w:rPr>
          <w:rFonts w:ascii="Cambria" w:hAnsi="Cambria"/>
          <w:sz w:val="22"/>
          <w:szCs w:val="22"/>
          <w:lang w:val="en-US"/>
        </w:rPr>
      </w:pPr>
      <w:r w:rsidRPr="00C65A12">
        <w:rPr>
          <w:rFonts w:ascii="Cambria" w:hAnsi="Cambria"/>
          <w:sz w:val="22"/>
          <w:szCs w:val="22"/>
          <w:lang w:val="en-US"/>
        </w:rPr>
        <w:t>High tax rates for people who have a lot of real estate help</w:t>
      </w:r>
      <w:r>
        <w:rPr>
          <w:rFonts w:ascii="Cambria" w:hAnsi="Cambria"/>
          <w:sz w:val="22"/>
          <w:szCs w:val="22"/>
          <w:lang w:val="en-US"/>
        </w:rPr>
        <w:t>s</w:t>
      </w:r>
      <w:r w:rsidRPr="00C65A12">
        <w:rPr>
          <w:rFonts w:ascii="Cambria" w:hAnsi="Cambria"/>
          <w:sz w:val="22"/>
          <w:szCs w:val="22"/>
          <w:lang w:val="en-US"/>
        </w:rPr>
        <w:t xml:space="preserve"> limit spending too much money on real estate and increase capital for production and business investment.</w:t>
      </w:r>
      <w:r>
        <w:rPr>
          <w:rFonts w:ascii="Cambria" w:hAnsi="Cambria"/>
          <w:sz w:val="22"/>
          <w:szCs w:val="22"/>
          <w:lang w:val="en-US"/>
        </w:rPr>
        <w:t xml:space="preserve"> </w:t>
      </w:r>
      <w:r w:rsidRPr="00341205">
        <w:rPr>
          <w:rFonts w:ascii="Cambria" w:hAnsi="Cambria"/>
          <w:sz w:val="22"/>
          <w:szCs w:val="22"/>
          <w:lang w:val="en-US"/>
        </w:rPr>
        <w:t>Moreover, high taxes on people who have a lot of real estate contribute to reducing the demand for land, bringing housing prices to a reasonable level and more opportunities for those who</w:t>
      </w:r>
      <w:r>
        <w:rPr>
          <w:rFonts w:ascii="Cambria" w:hAnsi="Cambria"/>
          <w:sz w:val="22"/>
          <w:szCs w:val="22"/>
          <w:lang w:val="en-US"/>
        </w:rPr>
        <w:t xml:space="preserve"> are</w:t>
      </w:r>
      <w:r w:rsidRPr="00341205">
        <w:rPr>
          <w:rFonts w:ascii="Cambria" w:hAnsi="Cambria"/>
          <w:sz w:val="22"/>
          <w:szCs w:val="22"/>
          <w:lang w:val="en-US"/>
        </w:rPr>
        <w:t xml:space="preserve"> really</w:t>
      </w:r>
      <w:r>
        <w:rPr>
          <w:rFonts w:ascii="Cambria" w:hAnsi="Cambria"/>
          <w:sz w:val="22"/>
          <w:szCs w:val="22"/>
          <w:lang w:val="en-US"/>
        </w:rPr>
        <w:t xml:space="preserve"> in need.</w:t>
      </w:r>
    </w:p>
    <w:p w14:paraId="7BACA141" w14:textId="77777777" w:rsidR="003021F8" w:rsidRPr="00086347" w:rsidRDefault="003021F8" w:rsidP="003021F8">
      <w:pPr>
        <w:jc w:val="both"/>
        <w:rPr>
          <w:rFonts w:ascii="Cambria" w:hAnsi="Cambria"/>
          <w:sz w:val="22"/>
          <w:szCs w:val="22"/>
          <w:lang w:val="en-US"/>
        </w:rPr>
      </w:pPr>
    </w:p>
    <w:p w14:paraId="28B341DC" w14:textId="77777777" w:rsidR="003021F8" w:rsidRDefault="003021F8" w:rsidP="003021F8">
      <w:pPr>
        <w:pStyle w:val="ListParagraph"/>
        <w:jc w:val="both"/>
        <w:rPr>
          <w:rFonts w:ascii="Cambria" w:hAnsi="Cambria"/>
          <w:sz w:val="22"/>
          <w:szCs w:val="22"/>
          <w:lang w:val="en-US"/>
        </w:rPr>
      </w:pPr>
      <w:r w:rsidRPr="00341205">
        <w:rPr>
          <w:rFonts w:ascii="Cambria" w:hAnsi="Cambria"/>
          <w:sz w:val="22"/>
          <w:szCs w:val="22"/>
          <w:lang w:val="en-US"/>
        </w:rPr>
        <w:t>However, in order to</w:t>
      </w:r>
      <w:r>
        <w:rPr>
          <w:rFonts w:ascii="Cambria" w:hAnsi="Cambria"/>
          <w:sz w:val="22"/>
          <w:szCs w:val="22"/>
          <w:lang w:val="en-US"/>
        </w:rPr>
        <w:t xml:space="preserve"> i</w:t>
      </w:r>
      <w:r w:rsidRPr="00341205">
        <w:rPr>
          <w:rFonts w:ascii="Cambria" w:hAnsi="Cambria"/>
          <w:sz w:val="22"/>
          <w:szCs w:val="22"/>
          <w:lang w:val="en-US"/>
        </w:rPr>
        <w:t>mplement this policy</w:t>
      </w:r>
      <w:r>
        <w:rPr>
          <w:rFonts w:ascii="Cambria" w:hAnsi="Cambria"/>
          <w:sz w:val="22"/>
          <w:szCs w:val="22"/>
          <w:lang w:val="en-US"/>
        </w:rPr>
        <w:t xml:space="preserve">, </w:t>
      </w:r>
      <w:r w:rsidRPr="00341205">
        <w:rPr>
          <w:rFonts w:ascii="Cambria" w:hAnsi="Cambria"/>
          <w:sz w:val="22"/>
          <w:szCs w:val="22"/>
          <w:lang w:val="en-US"/>
        </w:rPr>
        <w:t>it is necessary to</w:t>
      </w:r>
      <w:r>
        <w:rPr>
          <w:rFonts w:ascii="Cambria" w:hAnsi="Cambria"/>
          <w:sz w:val="22"/>
          <w:szCs w:val="22"/>
          <w:lang w:val="en-US"/>
        </w:rPr>
        <w:t xml:space="preserve"> specify the </w:t>
      </w:r>
      <w:r w:rsidRPr="001A1762">
        <w:rPr>
          <w:rFonts w:ascii="Cambria" w:hAnsi="Cambria"/>
          <w:sz w:val="22"/>
          <w:szCs w:val="22"/>
          <w:lang w:val="en-US"/>
        </w:rPr>
        <w:t>regulations to avoid unfairness to those who have a lot of real estate in a legitimate way as well as avoid cases of</w:t>
      </w:r>
      <w:r>
        <w:rPr>
          <w:rFonts w:ascii="Cambria" w:hAnsi="Cambria"/>
          <w:sz w:val="22"/>
          <w:szCs w:val="22"/>
          <w:lang w:val="en-US"/>
        </w:rPr>
        <w:t xml:space="preserve"> breaking the law, for example: </w:t>
      </w:r>
    </w:p>
    <w:p w14:paraId="7FF26983" w14:textId="77777777" w:rsidR="003021F8" w:rsidRDefault="003021F8" w:rsidP="003021F8">
      <w:pPr>
        <w:pStyle w:val="ListParagraph"/>
        <w:jc w:val="both"/>
        <w:rPr>
          <w:rFonts w:ascii="Cambria" w:hAnsi="Cambria"/>
          <w:sz w:val="22"/>
          <w:szCs w:val="22"/>
          <w:lang w:val="en-US"/>
        </w:rPr>
      </w:pPr>
    </w:p>
    <w:p w14:paraId="11C6C991" w14:textId="77777777" w:rsidR="003021F8" w:rsidRDefault="003021F8" w:rsidP="003021F8">
      <w:pPr>
        <w:pStyle w:val="ListParagraph"/>
        <w:numPr>
          <w:ilvl w:val="0"/>
          <w:numId w:val="14"/>
        </w:numPr>
        <w:jc w:val="both"/>
        <w:rPr>
          <w:rFonts w:ascii="Cambria" w:hAnsi="Cambria"/>
          <w:sz w:val="22"/>
          <w:szCs w:val="22"/>
          <w:lang w:val="en-US"/>
        </w:rPr>
      </w:pPr>
      <w:r w:rsidRPr="001A1762">
        <w:rPr>
          <w:rFonts w:ascii="Cambria" w:hAnsi="Cambria"/>
          <w:sz w:val="22"/>
          <w:szCs w:val="22"/>
          <w:lang w:val="en-US"/>
        </w:rPr>
        <w:t>distinguish between people who have many rights to use real estate for legitimate purposes and those who own real estate for speculation;</w:t>
      </w:r>
    </w:p>
    <w:p w14:paraId="122F86A3" w14:textId="77777777" w:rsidR="003021F8" w:rsidRDefault="003021F8" w:rsidP="003021F8">
      <w:pPr>
        <w:pStyle w:val="ListParagraph"/>
        <w:ind w:left="1440"/>
        <w:jc w:val="both"/>
        <w:rPr>
          <w:rFonts w:ascii="Cambria" w:hAnsi="Cambria"/>
          <w:sz w:val="22"/>
          <w:szCs w:val="22"/>
          <w:lang w:val="en-US"/>
        </w:rPr>
      </w:pPr>
    </w:p>
    <w:p w14:paraId="444CCF37" w14:textId="77777777" w:rsidR="003021F8" w:rsidRDefault="003021F8" w:rsidP="003021F8">
      <w:pPr>
        <w:pStyle w:val="ListParagraph"/>
        <w:numPr>
          <w:ilvl w:val="0"/>
          <w:numId w:val="14"/>
        </w:numPr>
        <w:jc w:val="both"/>
        <w:rPr>
          <w:rFonts w:ascii="Cambria" w:hAnsi="Cambria"/>
          <w:sz w:val="22"/>
          <w:szCs w:val="22"/>
          <w:lang w:val="en-US"/>
        </w:rPr>
      </w:pPr>
      <w:r w:rsidRPr="001A1762">
        <w:rPr>
          <w:rFonts w:ascii="Cambria" w:hAnsi="Cambria"/>
          <w:sz w:val="22"/>
          <w:szCs w:val="22"/>
          <w:lang w:val="en-US"/>
        </w:rPr>
        <w:t>solution in case of using someone else</w:t>
      </w:r>
      <w:r>
        <w:rPr>
          <w:rFonts w:ascii="Cambria" w:hAnsi="Cambria"/>
          <w:sz w:val="22"/>
          <w:szCs w:val="22"/>
          <w:lang w:val="en-US"/>
        </w:rPr>
        <w:t xml:space="preserve"> </w:t>
      </w:r>
      <w:r w:rsidRPr="001A1762">
        <w:rPr>
          <w:rFonts w:ascii="Cambria" w:hAnsi="Cambria"/>
          <w:sz w:val="22"/>
          <w:szCs w:val="22"/>
          <w:lang w:val="en-US"/>
        </w:rPr>
        <w:t>to avoid paying high taxes;</w:t>
      </w:r>
    </w:p>
    <w:p w14:paraId="51B64D11" w14:textId="77777777" w:rsidR="003021F8" w:rsidRPr="001A1762" w:rsidRDefault="003021F8" w:rsidP="003021F8">
      <w:pPr>
        <w:pStyle w:val="ListParagraph"/>
        <w:rPr>
          <w:rFonts w:ascii="Cambria" w:hAnsi="Cambria"/>
          <w:sz w:val="22"/>
          <w:szCs w:val="22"/>
          <w:lang w:val="en-US"/>
        </w:rPr>
      </w:pPr>
    </w:p>
    <w:p w14:paraId="59B76814" w14:textId="77777777" w:rsidR="003021F8" w:rsidRDefault="003021F8" w:rsidP="003021F8">
      <w:pPr>
        <w:pStyle w:val="ListParagraph"/>
        <w:numPr>
          <w:ilvl w:val="0"/>
          <w:numId w:val="14"/>
        </w:numPr>
        <w:jc w:val="both"/>
        <w:rPr>
          <w:rFonts w:ascii="Cambria" w:hAnsi="Cambria"/>
          <w:sz w:val="22"/>
          <w:szCs w:val="22"/>
          <w:lang w:val="en-US"/>
        </w:rPr>
      </w:pPr>
      <w:r w:rsidRPr="00617038">
        <w:rPr>
          <w:rFonts w:ascii="Cambria" w:hAnsi="Cambria"/>
          <w:sz w:val="22"/>
          <w:szCs w:val="22"/>
          <w:lang w:val="en-US"/>
        </w:rPr>
        <w:t>build a complete and unified land database</w:t>
      </w:r>
      <w:r>
        <w:rPr>
          <w:rFonts w:ascii="Cambria" w:hAnsi="Cambria"/>
          <w:sz w:val="22"/>
          <w:szCs w:val="22"/>
          <w:lang w:val="en-US"/>
        </w:rPr>
        <w:t xml:space="preserve"> </w:t>
      </w:r>
      <w:r w:rsidRPr="00617038">
        <w:rPr>
          <w:rFonts w:ascii="Cambria" w:hAnsi="Cambria"/>
          <w:sz w:val="22"/>
          <w:szCs w:val="22"/>
          <w:lang w:val="en-US"/>
        </w:rPr>
        <w:t>to have information on the number of real estates each person</w:t>
      </w:r>
      <w:r>
        <w:rPr>
          <w:rFonts w:ascii="Cambria" w:hAnsi="Cambria"/>
          <w:sz w:val="22"/>
          <w:szCs w:val="22"/>
          <w:lang w:val="en-US"/>
        </w:rPr>
        <w:t>.</w:t>
      </w:r>
    </w:p>
    <w:p w14:paraId="6C20BE79" w14:textId="77777777" w:rsidR="003021F8" w:rsidRDefault="003021F8" w:rsidP="003021F8">
      <w:pPr>
        <w:pStyle w:val="ListParagraph"/>
        <w:jc w:val="both"/>
        <w:rPr>
          <w:rFonts w:ascii="Cambria" w:hAnsi="Cambria"/>
          <w:sz w:val="22"/>
          <w:szCs w:val="22"/>
          <w:lang w:val="en-US"/>
        </w:rPr>
      </w:pPr>
    </w:p>
    <w:p w14:paraId="3F3827C9" w14:textId="77777777" w:rsidR="003021F8" w:rsidRDefault="003021F8" w:rsidP="003021F8">
      <w:pPr>
        <w:pStyle w:val="ListParagraph"/>
        <w:jc w:val="both"/>
        <w:rPr>
          <w:rFonts w:ascii="Cambria" w:hAnsi="Cambria"/>
          <w:sz w:val="22"/>
          <w:szCs w:val="22"/>
          <w:lang w:val="en-US"/>
        </w:rPr>
      </w:pPr>
      <w:r w:rsidRPr="00325241">
        <w:rPr>
          <w:rFonts w:ascii="Cambria" w:hAnsi="Cambria"/>
          <w:sz w:val="22"/>
          <w:szCs w:val="22"/>
          <w:lang w:val="en-US"/>
        </w:rPr>
        <w:t>In addition, Resolution 18-NQ/TW with the goal of amending and supplementing the 2013 Land Law and other legal documents related to 2023, in which the important content is</w:t>
      </w:r>
      <w:r>
        <w:rPr>
          <w:rFonts w:ascii="Cambria" w:hAnsi="Cambria"/>
          <w:sz w:val="22"/>
          <w:szCs w:val="22"/>
          <w:lang w:val="en-US"/>
        </w:rPr>
        <w:t xml:space="preserve"> </w:t>
      </w:r>
      <w:r w:rsidRPr="00325241">
        <w:rPr>
          <w:rFonts w:ascii="Cambria" w:hAnsi="Cambria"/>
          <w:sz w:val="22"/>
          <w:szCs w:val="22"/>
          <w:lang w:val="en-US"/>
        </w:rPr>
        <w:t>the State's implementation of the land allocation, land lease through auction of land use rights</w:t>
      </w:r>
      <w:r>
        <w:rPr>
          <w:rFonts w:ascii="Cambria" w:hAnsi="Cambria"/>
          <w:sz w:val="22"/>
          <w:szCs w:val="22"/>
          <w:lang w:val="en-US"/>
        </w:rPr>
        <w:t xml:space="preserve">, </w:t>
      </w:r>
      <w:r w:rsidRPr="00325241">
        <w:rPr>
          <w:rFonts w:ascii="Cambria" w:hAnsi="Cambria"/>
          <w:sz w:val="22"/>
          <w:szCs w:val="22"/>
          <w:lang w:val="en-US"/>
        </w:rPr>
        <w:t>bidding for projects using land</w:t>
      </w:r>
      <w:r>
        <w:rPr>
          <w:rFonts w:ascii="Cambria" w:hAnsi="Cambria"/>
          <w:sz w:val="22"/>
          <w:szCs w:val="22"/>
          <w:lang w:val="en-US"/>
        </w:rPr>
        <w:t xml:space="preserve">, </w:t>
      </w:r>
      <w:r w:rsidRPr="00AE7573">
        <w:rPr>
          <w:rFonts w:ascii="Cambria" w:hAnsi="Cambria"/>
          <w:sz w:val="22"/>
          <w:szCs w:val="22"/>
          <w:lang w:val="en-US"/>
        </w:rPr>
        <w:t>ensuring synchronization, consistency, and meeting new development requirements.</w:t>
      </w:r>
    </w:p>
    <w:p w14:paraId="04BF5816" w14:textId="77777777" w:rsidR="004339DB" w:rsidRPr="00A85F2C" w:rsidRDefault="004339DB" w:rsidP="00A85F2C">
      <w:pPr>
        <w:ind w:left="720"/>
        <w:jc w:val="both"/>
        <w:rPr>
          <w:rFonts w:ascii="Cambria" w:hAnsi="Cambria"/>
          <w:sz w:val="22"/>
          <w:szCs w:val="22"/>
          <w:lang w:val="en-US"/>
        </w:rPr>
      </w:pPr>
    </w:p>
    <w:p w14:paraId="362A6040" w14:textId="77777777" w:rsidR="00404F64" w:rsidRPr="00C6709A" w:rsidRDefault="00404F64" w:rsidP="00404F64">
      <w:pPr>
        <w:pStyle w:val="NormalWeb"/>
        <w:shd w:val="clear" w:color="auto" w:fill="FFFFFF"/>
        <w:spacing w:before="0" w:beforeAutospacing="0" w:after="0" w:afterAutospacing="0" w:line="259" w:lineRule="auto"/>
        <w:contextualSpacing/>
        <w:jc w:val="both"/>
        <w:rPr>
          <w:rFonts w:ascii="Cambria" w:hAnsi="Cambria"/>
          <w:color w:val="000000"/>
          <w:sz w:val="22"/>
          <w:szCs w:val="22"/>
          <w:lang w:val="en-US"/>
        </w:rPr>
      </w:pPr>
      <w:r w:rsidRPr="00C6709A">
        <w:rPr>
          <w:rFonts w:ascii="Cambria" w:hAnsi="Cambria"/>
          <w:color w:val="000000"/>
          <w:sz w:val="22"/>
          <w:szCs w:val="22"/>
          <w:lang w:val="en-US"/>
        </w:rPr>
        <w:t>We hope you found this brief legal update informative.</w:t>
      </w:r>
    </w:p>
    <w:p w14:paraId="12BB4EEB" w14:textId="77777777" w:rsidR="00404F64" w:rsidRPr="00C6709A" w:rsidRDefault="00404F64" w:rsidP="00404F64">
      <w:pPr>
        <w:pStyle w:val="NormalWeb"/>
        <w:shd w:val="clear" w:color="auto" w:fill="FFFFFF"/>
        <w:spacing w:before="0" w:beforeAutospacing="0" w:after="0" w:afterAutospacing="0" w:line="259" w:lineRule="auto"/>
        <w:ind w:left="1418" w:hanging="90"/>
        <w:contextualSpacing/>
        <w:jc w:val="both"/>
        <w:rPr>
          <w:rFonts w:ascii="Cambria" w:hAnsi="Cambria"/>
          <w:color w:val="000000"/>
          <w:sz w:val="22"/>
          <w:szCs w:val="22"/>
          <w:lang w:val="en-US"/>
        </w:rPr>
      </w:pPr>
      <w:r w:rsidRPr="00C6709A">
        <w:rPr>
          <w:rFonts w:ascii="Cambria" w:hAnsi="Cambria"/>
          <w:color w:val="000000"/>
          <w:sz w:val="22"/>
          <w:szCs w:val="22"/>
          <w:lang w:val="en-US"/>
        </w:rPr>
        <w:t> </w:t>
      </w:r>
    </w:p>
    <w:p w14:paraId="36CF54C7" w14:textId="77777777" w:rsidR="00404F64" w:rsidRPr="00C6709A" w:rsidRDefault="00404F64" w:rsidP="00404F64">
      <w:pPr>
        <w:jc w:val="both"/>
        <w:rPr>
          <w:rFonts w:ascii="Cambria" w:hAnsi="Cambria"/>
          <w:sz w:val="22"/>
          <w:szCs w:val="22"/>
          <w:lang w:val="en-US"/>
        </w:rPr>
      </w:pPr>
      <w:r w:rsidRPr="00C6709A">
        <w:rPr>
          <w:rFonts w:ascii="Cambria" w:hAnsi="Cambria"/>
          <w:color w:val="000000"/>
          <w:sz w:val="22"/>
          <w:szCs w:val="22"/>
          <w:lang w:val="en-US"/>
        </w:rPr>
        <w:t>Kind regards</w:t>
      </w:r>
      <w:r w:rsidRPr="00C6709A">
        <w:rPr>
          <w:rFonts w:ascii="Cambria" w:hAnsi="Cambria"/>
          <w:sz w:val="22"/>
          <w:szCs w:val="22"/>
          <w:lang w:val="en-US"/>
        </w:rPr>
        <w:t>./.</w:t>
      </w:r>
    </w:p>
    <w:p w14:paraId="4AF4341A" w14:textId="77777777" w:rsidR="00404F64" w:rsidRPr="00C6709A" w:rsidRDefault="00404F64" w:rsidP="00404F64">
      <w:pPr>
        <w:ind w:left="720"/>
        <w:jc w:val="both"/>
        <w:rPr>
          <w:rFonts w:ascii="Cambria" w:hAnsi="Cambria"/>
          <w:sz w:val="22"/>
          <w:szCs w:val="22"/>
          <w:lang w:val="en-US"/>
        </w:rPr>
      </w:pPr>
    </w:p>
    <w:p w14:paraId="157FB32C" w14:textId="77777777" w:rsidR="00404F64" w:rsidRPr="00C6709A" w:rsidRDefault="00404F64" w:rsidP="00404F64">
      <w:pPr>
        <w:spacing w:after="160" w:line="259" w:lineRule="auto"/>
        <w:jc w:val="both"/>
        <w:rPr>
          <w:rFonts w:ascii="Cambria" w:hAnsi="Cambria"/>
          <w:sz w:val="22"/>
          <w:szCs w:val="22"/>
          <w:lang w:val="en-US"/>
        </w:rPr>
      </w:pPr>
      <w:r w:rsidRPr="00C6709A">
        <w:rPr>
          <w:rFonts w:ascii="Cambria" w:hAnsi="Cambria"/>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C6709A" w14:paraId="5F91174E" w14:textId="77777777" w:rsidTr="0000271E">
        <w:trPr>
          <w:trHeight w:val="4343"/>
        </w:trPr>
        <w:tc>
          <w:tcPr>
            <w:tcW w:w="20" w:type="dxa"/>
            <w:tcBorders>
              <w:top w:val="nil"/>
              <w:left w:val="nil"/>
              <w:right w:val="nil"/>
            </w:tcBorders>
          </w:tcPr>
          <w:p w14:paraId="5F095DC6" w14:textId="77777777" w:rsidR="00404F64" w:rsidRPr="00C6709A" w:rsidRDefault="00404F64" w:rsidP="0000271E">
            <w:pPr>
              <w:jc w:val="both"/>
              <w:rPr>
                <w:rFonts w:ascii="Cambria" w:hAnsi="Cambria"/>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C6709A" w:rsidRDefault="00404F64" w:rsidP="0000271E">
            <w:pPr>
              <w:jc w:val="both"/>
              <w:rPr>
                <w:rFonts w:ascii="Cambria" w:hAnsi="Cambria"/>
                <w:b/>
                <w:color w:val="000000" w:themeColor="text1"/>
                <w:sz w:val="22"/>
                <w:szCs w:val="22"/>
                <w:lang w:val="en-US"/>
              </w:rPr>
            </w:pPr>
          </w:p>
          <w:p w14:paraId="3599DF03" w14:textId="77777777" w:rsidR="00404F64" w:rsidRPr="00C6709A" w:rsidRDefault="00404F64" w:rsidP="0000271E">
            <w:pPr>
              <w:widowControl w:val="0"/>
              <w:autoSpaceDE w:val="0"/>
              <w:autoSpaceDN w:val="0"/>
              <w:ind w:left="68" w:right="102" w:hanging="17"/>
              <w:contextualSpacing/>
              <w:jc w:val="both"/>
              <w:rPr>
                <w:rFonts w:ascii="Cambria" w:hAnsi="Cambria" w:cs="Arial"/>
                <w:lang w:val="en-US" w:eastAsia="en-GB"/>
              </w:rPr>
            </w:pPr>
            <w:r w:rsidRPr="00C6709A">
              <w:rPr>
                <w:rFonts w:ascii="Cambria" w:hAnsi="Cambria" w:cs="Arial"/>
                <w:lang w:val="en-US" w:eastAsia="en-GB"/>
              </w:rPr>
              <w:t>This document has been only prepared for general</w:t>
            </w:r>
            <w:r w:rsidRPr="00C6709A">
              <w:rPr>
                <w:rFonts w:ascii="Cambria" w:hAnsi="Cambria"/>
                <w:lang w:val="en-US"/>
              </w:rPr>
              <w:t xml:space="preserve"> </w:t>
            </w:r>
            <w:r w:rsidRPr="00C6709A">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C6709A" w:rsidRDefault="00404F64" w:rsidP="0000271E">
            <w:pPr>
              <w:widowControl w:val="0"/>
              <w:autoSpaceDE w:val="0"/>
              <w:autoSpaceDN w:val="0"/>
              <w:ind w:left="68" w:right="102" w:hanging="17"/>
              <w:contextualSpacing/>
              <w:jc w:val="both"/>
              <w:rPr>
                <w:rFonts w:ascii="Cambria" w:hAnsi="Cambria" w:cs="Arial"/>
                <w:lang w:val="en-US" w:eastAsia="en-GB"/>
              </w:rPr>
            </w:pPr>
          </w:p>
          <w:p w14:paraId="79BD23C0" w14:textId="77777777" w:rsidR="00404F64" w:rsidRPr="00C6709A" w:rsidRDefault="00404F64" w:rsidP="0000271E">
            <w:pPr>
              <w:widowControl w:val="0"/>
              <w:autoSpaceDE w:val="0"/>
              <w:autoSpaceDN w:val="0"/>
              <w:ind w:left="68" w:right="102" w:hanging="17"/>
              <w:contextualSpacing/>
              <w:jc w:val="both"/>
              <w:rPr>
                <w:rFonts w:ascii="Cambria" w:hAnsi="Cambria" w:cs="Arial"/>
                <w:lang w:val="en-US" w:eastAsia="en-GB"/>
              </w:rPr>
            </w:pPr>
            <w:r w:rsidRPr="00C6709A">
              <w:rPr>
                <w:rFonts w:ascii="Cambria" w:hAnsi="Cambria" w:cs="Arial"/>
                <w:lang w:val="en-US" w:eastAsia="en-GB"/>
              </w:rPr>
              <w:t>If you have or suspect that you may have a particular problem, you should contact us or your lawyer for specific advice on the matter.</w:t>
            </w:r>
          </w:p>
          <w:p w14:paraId="68116B44" w14:textId="77777777" w:rsidR="00404F64" w:rsidRPr="00C6709A" w:rsidRDefault="00404F64" w:rsidP="0000271E">
            <w:pPr>
              <w:widowControl w:val="0"/>
              <w:autoSpaceDE w:val="0"/>
              <w:autoSpaceDN w:val="0"/>
              <w:ind w:left="68" w:right="102" w:hanging="17"/>
              <w:contextualSpacing/>
              <w:jc w:val="both"/>
              <w:rPr>
                <w:rFonts w:ascii="Cambria" w:hAnsi="Cambria" w:cs="Arial"/>
                <w:lang w:val="en-US" w:eastAsia="en-GB"/>
              </w:rPr>
            </w:pPr>
          </w:p>
          <w:p w14:paraId="7F4D0CE8" w14:textId="77777777" w:rsidR="00404F64" w:rsidRPr="00C6709A" w:rsidRDefault="00404F64" w:rsidP="0000271E">
            <w:pPr>
              <w:widowControl w:val="0"/>
              <w:autoSpaceDE w:val="0"/>
              <w:autoSpaceDN w:val="0"/>
              <w:ind w:left="68" w:right="102" w:hanging="17"/>
              <w:contextualSpacing/>
              <w:jc w:val="both"/>
              <w:rPr>
                <w:rFonts w:ascii="Cambria" w:hAnsi="Cambria" w:cs="Arial"/>
                <w:b/>
                <w:bCs/>
                <w:lang w:val="en-US" w:eastAsia="en-GB"/>
              </w:rPr>
            </w:pPr>
            <w:r w:rsidRPr="00C6709A">
              <w:rPr>
                <w:rFonts w:ascii="Cambria" w:hAnsi="Cambria" w:cs="Arial"/>
                <w:b/>
                <w:bCs/>
                <w:lang w:val="en-US" w:eastAsia="en-GB"/>
              </w:rPr>
              <w:t>ADK VIET NAM LAWYERS</w:t>
            </w:r>
          </w:p>
          <w:p w14:paraId="49F50E20" w14:textId="77777777" w:rsidR="00404F64" w:rsidRPr="00C6709A" w:rsidRDefault="00404F64" w:rsidP="0000271E">
            <w:pPr>
              <w:widowControl w:val="0"/>
              <w:autoSpaceDE w:val="0"/>
              <w:autoSpaceDN w:val="0"/>
              <w:ind w:left="68" w:right="102" w:hanging="17"/>
              <w:contextualSpacing/>
              <w:jc w:val="both"/>
              <w:rPr>
                <w:rFonts w:ascii="Cambria" w:hAnsi="Cambria" w:cs="Arial"/>
                <w:b/>
                <w:bCs/>
                <w:lang w:val="en-US" w:eastAsia="en-GB"/>
              </w:rPr>
            </w:pPr>
          </w:p>
          <w:p w14:paraId="592BC68D" w14:textId="77777777" w:rsidR="00404F64" w:rsidRPr="00C6709A" w:rsidRDefault="00404F64" w:rsidP="0000271E">
            <w:pPr>
              <w:jc w:val="both"/>
              <w:rPr>
                <w:rFonts w:ascii="Cambria" w:hAnsi="Cambria"/>
                <w:color w:val="000000"/>
                <w:lang w:val="en-US"/>
              </w:rPr>
            </w:pPr>
            <w:r w:rsidRPr="00C6709A">
              <w:rPr>
                <w:rFonts w:ascii="Cambria" w:hAnsi="Cambria"/>
                <w:b/>
                <w:bCs/>
                <w:color w:val="000000"/>
                <w:lang w:val="en-US"/>
              </w:rPr>
              <w:t>Ho Chi Minh Office</w:t>
            </w:r>
            <w:r w:rsidRPr="00C6709A">
              <w:rPr>
                <w:rFonts w:ascii="Cambria" w:hAnsi="Cambria"/>
                <w:color w:val="000000"/>
                <w:lang w:val="en-US"/>
              </w:rPr>
              <w:t>: Ground Fl. HBT Tower, 456-458 Hai Ba Trung Str., Tan Dinh Ward, District 1, HCM City, VN</w:t>
            </w:r>
          </w:p>
          <w:p w14:paraId="7F6D02C2" w14:textId="77777777" w:rsidR="00404F64" w:rsidRPr="00C6709A" w:rsidRDefault="00404F64" w:rsidP="0000271E">
            <w:pPr>
              <w:jc w:val="both"/>
              <w:rPr>
                <w:rFonts w:ascii="Cambria" w:hAnsi="Cambria"/>
                <w:color w:val="000000"/>
                <w:lang w:val="en-US"/>
              </w:rPr>
            </w:pPr>
            <w:r w:rsidRPr="00C6709A">
              <w:rPr>
                <w:rFonts w:ascii="Cambria" w:hAnsi="Cambria"/>
                <w:b/>
                <w:bCs/>
                <w:color w:val="000000"/>
                <w:lang w:val="en-US"/>
              </w:rPr>
              <w:t>Ha Noi Office</w:t>
            </w:r>
            <w:r w:rsidRPr="00C6709A">
              <w:rPr>
                <w:rFonts w:ascii="Cambria" w:hAnsi="Cambria"/>
                <w:color w:val="000000"/>
                <w:lang w:val="en-US"/>
              </w:rPr>
              <w:t>: </w:t>
            </w:r>
            <w:r w:rsidRPr="00C6709A">
              <w:rPr>
                <w:rFonts w:ascii="Cambria" w:hAnsi="Cambria"/>
                <w:color w:val="333333"/>
                <w:lang w:val="en-US"/>
              </w:rPr>
              <w:t>Ground Fl. Pax Sky Building, 63-65 Ngo Thi Nham Str., Pham Dinh Ho Ward, Hai Ba Trung District, Hanoi City, VN</w:t>
            </w:r>
            <w:r w:rsidRPr="00C6709A">
              <w:rPr>
                <w:rFonts w:ascii="Cambria" w:hAnsi="Cambria"/>
                <w:color w:val="000000"/>
                <w:lang w:val="en-US"/>
              </w:rPr>
              <w:t>    </w:t>
            </w:r>
          </w:p>
          <w:p w14:paraId="140FD021" w14:textId="77777777" w:rsidR="00404F64" w:rsidRPr="00C6709A" w:rsidRDefault="00404F64" w:rsidP="0000271E">
            <w:pPr>
              <w:pStyle w:val="ListParagraph"/>
              <w:spacing w:line="264" w:lineRule="auto"/>
              <w:ind w:left="0"/>
              <w:jc w:val="both"/>
              <w:rPr>
                <w:rFonts w:ascii="Cambria" w:hAnsi="Cambria" w:cs="Arial"/>
                <w:lang w:val="en-US" w:eastAsia="en-GB"/>
              </w:rPr>
            </w:pPr>
            <w:r w:rsidRPr="00C6709A">
              <w:rPr>
                <w:rFonts w:ascii="Cambria" w:hAnsi="Cambria" w:cs="Arial"/>
                <w:lang w:val="en-US" w:eastAsia="en-GB"/>
              </w:rPr>
              <w:t>Hotline: (+84) 28 66 79 79 66 or (+84) 939 107 387</w:t>
            </w:r>
          </w:p>
          <w:p w14:paraId="3DB03B02" w14:textId="77777777" w:rsidR="00404F64" w:rsidRPr="00C6709A" w:rsidRDefault="00404F64" w:rsidP="0000271E">
            <w:pPr>
              <w:widowControl w:val="0"/>
              <w:autoSpaceDE w:val="0"/>
              <w:autoSpaceDN w:val="0"/>
              <w:ind w:left="68" w:right="102" w:hanging="17"/>
              <w:contextualSpacing/>
              <w:jc w:val="both"/>
              <w:rPr>
                <w:rFonts w:ascii="Cambria" w:hAnsi="Cambria" w:cs="Arial"/>
                <w:color w:val="0000FF"/>
                <w:u w:val="single"/>
                <w:lang w:val="en-US" w:eastAsia="en-GB"/>
              </w:rPr>
            </w:pPr>
            <w:r w:rsidRPr="00C6709A">
              <w:rPr>
                <w:rFonts w:ascii="Cambria" w:hAnsi="Cambria" w:cs="Arial"/>
                <w:lang w:val="en-US" w:eastAsia="en-GB"/>
              </w:rPr>
              <w:t xml:space="preserve">Email: </w:t>
            </w:r>
            <w:hyperlink r:id="rId7" w:history="1">
              <w:r w:rsidRPr="00C6709A">
                <w:rPr>
                  <w:rFonts w:ascii="Cambria" w:hAnsi="Cambria" w:cs="Arial"/>
                  <w:color w:val="0000FF"/>
                  <w:u w:val="single"/>
                  <w:lang w:val="en-US" w:eastAsia="en-GB"/>
                </w:rPr>
                <w:t>info@adk-lawyers.com</w:t>
              </w:r>
            </w:hyperlink>
          </w:p>
          <w:p w14:paraId="2CD49E55" w14:textId="77777777" w:rsidR="00404F64" w:rsidRPr="00C6709A" w:rsidRDefault="00404F64" w:rsidP="0000271E">
            <w:pPr>
              <w:widowControl w:val="0"/>
              <w:autoSpaceDE w:val="0"/>
              <w:autoSpaceDN w:val="0"/>
              <w:ind w:left="68" w:right="102" w:hanging="17"/>
              <w:contextualSpacing/>
              <w:jc w:val="both"/>
              <w:rPr>
                <w:rFonts w:ascii="Cambria" w:hAnsi="Cambria" w:cs="Arial"/>
                <w:lang w:val="en-US" w:eastAsia="en-GB"/>
              </w:rPr>
            </w:pPr>
            <w:r w:rsidRPr="00C6709A">
              <w:rPr>
                <w:rFonts w:ascii="Cambria" w:hAnsi="Cambria" w:cs="Arial"/>
                <w:lang w:val="en-US" w:eastAsia="en-GB"/>
              </w:rPr>
              <w:t>W</w:t>
            </w:r>
            <w:r w:rsidRPr="00C6709A">
              <w:rPr>
                <w:rFonts w:ascii="Cambria" w:hAnsi="Cambria" w:cs="Arial"/>
                <w:lang w:val="en-US"/>
              </w:rPr>
              <w:t xml:space="preserve">ebsite: </w:t>
            </w:r>
            <w:hyperlink r:id="rId8" w:history="1">
              <w:r w:rsidRPr="00C6709A">
                <w:rPr>
                  <w:rFonts w:ascii="Cambria" w:hAnsi="Cambria" w:cs="Arial"/>
                  <w:color w:val="0000FF"/>
                  <w:u w:val="single"/>
                  <w:lang w:val="en-US"/>
                </w:rPr>
                <w:t>www.adk-lawyers.com</w:t>
              </w:r>
            </w:hyperlink>
            <w:r w:rsidRPr="00C6709A">
              <w:rPr>
                <w:rFonts w:ascii="Cambria" w:hAnsi="Cambria" w:cs="Arial"/>
                <w:lang w:val="en-US"/>
              </w:rPr>
              <w:t xml:space="preserve">  </w:t>
            </w:r>
          </w:p>
          <w:p w14:paraId="73CAFE37" w14:textId="77777777" w:rsidR="00404F64" w:rsidRPr="00C6709A" w:rsidRDefault="00404F64" w:rsidP="0000271E">
            <w:pPr>
              <w:jc w:val="both"/>
              <w:rPr>
                <w:rFonts w:ascii="Cambria" w:hAnsi="Cambria"/>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C6709A" w:rsidRDefault="00404F64" w:rsidP="0000271E">
            <w:pPr>
              <w:jc w:val="both"/>
              <w:rPr>
                <w:rFonts w:ascii="Cambria" w:hAnsi="Cambria"/>
                <w:color w:val="000000" w:themeColor="text1"/>
                <w:lang w:val="en-US"/>
              </w:rPr>
            </w:pPr>
          </w:p>
        </w:tc>
      </w:tr>
      <w:bookmarkEnd w:id="0"/>
    </w:tbl>
    <w:p w14:paraId="5C37EEFD" w14:textId="77777777" w:rsidR="00404F64" w:rsidRPr="00C6709A" w:rsidRDefault="00404F64" w:rsidP="00404F64">
      <w:pPr>
        <w:jc w:val="both"/>
        <w:rPr>
          <w:rFonts w:ascii="Cambria" w:hAnsi="Cambria"/>
          <w:lang w:val="en-US"/>
        </w:rPr>
      </w:pPr>
    </w:p>
    <w:p w14:paraId="68D85013" w14:textId="77777777" w:rsidR="00404F64" w:rsidRPr="00C6709A" w:rsidRDefault="00404F64" w:rsidP="00404F64">
      <w:pPr>
        <w:jc w:val="both"/>
        <w:rPr>
          <w:rFonts w:ascii="Cambria" w:hAnsi="Cambria"/>
          <w:lang w:val="en-US"/>
        </w:rPr>
      </w:pPr>
    </w:p>
    <w:p w14:paraId="4D84E5E2" w14:textId="77777777" w:rsidR="00404F64" w:rsidRPr="00C6709A" w:rsidRDefault="00404F64" w:rsidP="00404F64">
      <w:pPr>
        <w:spacing w:line="252" w:lineRule="auto"/>
        <w:jc w:val="both"/>
        <w:rPr>
          <w:rFonts w:ascii="Cambria" w:hAnsi="Cambria"/>
          <w:lang w:val="en-US"/>
        </w:rPr>
      </w:pPr>
    </w:p>
    <w:p w14:paraId="7E73E80A" w14:textId="77777777" w:rsidR="00404F64" w:rsidRPr="00C6709A" w:rsidRDefault="00404F64" w:rsidP="00404F64">
      <w:pPr>
        <w:jc w:val="both"/>
        <w:rPr>
          <w:rFonts w:ascii="Cambria" w:hAnsi="Cambria"/>
          <w:lang w:val="en-US"/>
        </w:rPr>
      </w:pPr>
    </w:p>
    <w:p w14:paraId="3F99B8C6" w14:textId="77777777" w:rsidR="00267564" w:rsidRPr="00C6709A" w:rsidRDefault="00267564" w:rsidP="00404F64">
      <w:pPr>
        <w:spacing w:line="252" w:lineRule="auto"/>
        <w:jc w:val="both"/>
        <w:rPr>
          <w:rFonts w:ascii="Cambria" w:hAnsi="Cambria"/>
        </w:rPr>
      </w:pPr>
    </w:p>
    <w:sectPr w:rsidR="00267564" w:rsidRPr="00C6709A"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AE4B" w14:textId="77777777" w:rsidR="00A90976" w:rsidRDefault="00A90976">
      <w:r>
        <w:separator/>
      </w:r>
    </w:p>
  </w:endnote>
  <w:endnote w:type="continuationSeparator" w:id="0">
    <w:p w14:paraId="65303D0E" w14:textId="77777777" w:rsidR="00A90976" w:rsidRDefault="00A9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A90976"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A90976"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4468" w14:textId="77777777" w:rsidR="00A90976" w:rsidRDefault="00A90976">
      <w:r>
        <w:separator/>
      </w:r>
    </w:p>
  </w:footnote>
  <w:footnote w:type="continuationSeparator" w:id="0">
    <w:p w14:paraId="4C2C7F9C" w14:textId="77777777" w:rsidR="00A90976" w:rsidRDefault="00A90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15"/>
  </w:num>
  <w:num w:numId="3" w16cid:durableId="287122901">
    <w:abstractNumId w:val="5"/>
  </w:num>
  <w:num w:numId="4" w16cid:durableId="42337664">
    <w:abstractNumId w:val="2"/>
  </w:num>
  <w:num w:numId="5" w16cid:durableId="1720593940">
    <w:abstractNumId w:val="13"/>
  </w:num>
  <w:num w:numId="6" w16cid:durableId="1742480446">
    <w:abstractNumId w:val="14"/>
  </w:num>
  <w:num w:numId="7" w16cid:durableId="1253661802">
    <w:abstractNumId w:val="6"/>
  </w:num>
  <w:num w:numId="8" w16cid:durableId="1992366187">
    <w:abstractNumId w:val="7"/>
  </w:num>
  <w:num w:numId="9" w16cid:durableId="2057460008">
    <w:abstractNumId w:val="11"/>
  </w:num>
  <w:num w:numId="10" w16cid:durableId="1275091441">
    <w:abstractNumId w:val="12"/>
  </w:num>
  <w:num w:numId="11" w16cid:durableId="667900649">
    <w:abstractNumId w:val="1"/>
  </w:num>
  <w:num w:numId="12" w16cid:durableId="1580872370">
    <w:abstractNumId w:val="8"/>
  </w:num>
  <w:num w:numId="13" w16cid:durableId="1777364795">
    <w:abstractNumId w:val="9"/>
  </w:num>
  <w:num w:numId="14" w16cid:durableId="309797935">
    <w:abstractNumId w:val="3"/>
  </w:num>
  <w:num w:numId="15" w16cid:durableId="1512065981">
    <w:abstractNumId w:val="4"/>
  </w:num>
  <w:num w:numId="16" w16cid:durableId="1147429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86347"/>
    <w:rsid w:val="00096653"/>
    <w:rsid w:val="000C642D"/>
    <w:rsid w:val="000D331E"/>
    <w:rsid w:val="00126805"/>
    <w:rsid w:val="00154384"/>
    <w:rsid w:val="00155CD7"/>
    <w:rsid w:val="001A1762"/>
    <w:rsid w:val="001A7F71"/>
    <w:rsid w:val="001E46D5"/>
    <w:rsid w:val="0020726E"/>
    <w:rsid w:val="00267564"/>
    <w:rsid w:val="002742C9"/>
    <w:rsid w:val="002749C1"/>
    <w:rsid w:val="002804DD"/>
    <w:rsid w:val="002C15B4"/>
    <w:rsid w:val="002E4F94"/>
    <w:rsid w:val="003021F8"/>
    <w:rsid w:val="00303E0A"/>
    <w:rsid w:val="00325241"/>
    <w:rsid w:val="00341205"/>
    <w:rsid w:val="00352014"/>
    <w:rsid w:val="003A4D25"/>
    <w:rsid w:val="003B25CD"/>
    <w:rsid w:val="003B5889"/>
    <w:rsid w:val="003F0068"/>
    <w:rsid w:val="003F4431"/>
    <w:rsid w:val="00404F64"/>
    <w:rsid w:val="004077D1"/>
    <w:rsid w:val="00420184"/>
    <w:rsid w:val="004339DB"/>
    <w:rsid w:val="004F78BC"/>
    <w:rsid w:val="0052048A"/>
    <w:rsid w:val="00526696"/>
    <w:rsid w:val="00527D28"/>
    <w:rsid w:val="00542879"/>
    <w:rsid w:val="00551F07"/>
    <w:rsid w:val="00556259"/>
    <w:rsid w:val="00590522"/>
    <w:rsid w:val="005A4DF3"/>
    <w:rsid w:val="005C3AF7"/>
    <w:rsid w:val="005C506F"/>
    <w:rsid w:val="005E0F54"/>
    <w:rsid w:val="0061042C"/>
    <w:rsid w:val="00612AA8"/>
    <w:rsid w:val="00617038"/>
    <w:rsid w:val="006266AB"/>
    <w:rsid w:val="00626875"/>
    <w:rsid w:val="00627717"/>
    <w:rsid w:val="00627A63"/>
    <w:rsid w:val="006940FA"/>
    <w:rsid w:val="006A7CA3"/>
    <w:rsid w:val="006E16D6"/>
    <w:rsid w:val="006E7104"/>
    <w:rsid w:val="00711E19"/>
    <w:rsid w:val="00747928"/>
    <w:rsid w:val="007C46B3"/>
    <w:rsid w:val="007D63FD"/>
    <w:rsid w:val="007F6ED0"/>
    <w:rsid w:val="00837B53"/>
    <w:rsid w:val="00861903"/>
    <w:rsid w:val="00873146"/>
    <w:rsid w:val="008918F5"/>
    <w:rsid w:val="008931C0"/>
    <w:rsid w:val="008C31BB"/>
    <w:rsid w:val="008C757A"/>
    <w:rsid w:val="008D6010"/>
    <w:rsid w:val="00903989"/>
    <w:rsid w:val="00936A9B"/>
    <w:rsid w:val="009607C0"/>
    <w:rsid w:val="00985626"/>
    <w:rsid w:val="00985A58"/>
    <w:rsid w:val="00991937"/>
    <w:rsid w:val="009D2B7D"/>
    <w:rsid w:val="009E2355"/>
    <w:rsid w:val="009F0B62"/>
    <w:rsid w:val="00A165E0"/>
    <w:rsid w:val="00A56C3A"/>
    <w:rsid w:val="00A85F2C"/>
    <w:rsid w:val="00A8656E"/>
    <w:rsid w:val="00A90976"/>
    <w:rsid w:val="00A9351C"/>
    <w:rsid w:val="00AE2A35"/>
    <w:rsid w:val="00AE7573"/>
    <w:rsid w:val="00AF2410"/>
    <w:rsid w:val="00B153E5"/>
    <w:rsid w:val="00B16544"/>
    <w:rsid w:val="00B21C34"/>
    <w:rsid w:val="00B43BF6"/>
    <w:rsid w:val="00BA55C4"/>
    <w:rsid w:val="00BC715F"/>
    <w:rsid w:val="00C329B1"/>
    <w:rsid w:val="00C36D07"/>
    <w:rsid w:val="00C50E43"/>
    <w:rsid w:val="00C574CD"/>
    <w:rsid w:val="00C64B4B"/>
    <w:rsid w:val="00C65A12"/>
    <w:rsid w:val="00C6709A"/>
    <w:rsid w:val="00C81F37"/>
    <w:rsid w:val="00C85480"/>
    <w:rsid w:val="00C96249"/>
    <w:rsid w:val="00C9789C"/>
    <w:rsid w:val="00CA26FA"/>
    <w:rsid w:val="00CB66BC"/>
    <w:rsid w:val="00CF338C"/>
    <w:rsid w:val="00D76EAC"/>
    <w:rsid w:val="00D813EC"/>
    <w:rsid w:val="00E05A15"/>
    <w:rsid w:val="00E216E3"/>
    <w:rsid w:val="00E23942"/>
    <w:rsid w:val="00E30040"/>
    <w:rsid w:val="00E30EF0"/>
    <w:rsid w:val="00E507C4"/>
    <w:rsid w:val="00E71EF8"/>
    <w:rsid w:val="00EB0FE2"/>
    <w:rsid w:val="00EB444A"/>
    <w:rsid w:val="00EE5FF7"/>
    <w:rsid w:val="00F03372"/>
    <w:rsid w:val="00F0398C"/>
    <w:rsid w:val="00F318F0"/>
    <w:rsid w:val="00F40434"/>
    <w:rsid w:val="00F743F3"/>
    <w:rsid w:val="00FA07FA"/>
    <w:rsid w:val="00FB4A9A"/>
    <w:rsid w:val="00FB67B0"/>
    <w:rsid w:val="00FB79DF"/>
    <w:rsid w:val="00FC2B24"/>
    <w:rsid w:val="00FD560B"/>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Dat Le (ADK Lawyers)</cp:lastModifiedBy>
  <cp:revision>10</cp:revision>
  <dcterms:created xsi:type="dcterms:W3CDTF">2022-06-28T03:37:00Z</dcterms:created>
  <dcterms:modified xsi:type="dcterms:W3CDTF">2022-06-30T03:12:00Z</dcterms:modified>
</cp:coreProperties>
</file>