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C2744" w14:textId="5863EE69" w:rsidR="005B01D6" w:rsidRDefault="00872274" w:rsidP="005B01D6">
      <w:pPr>
        <w:spacing w:after="0" w:line="240" w:lineRule="auto"/>
        <w:jc w:val="center"/>
        <w:rPr>
          <w:rFonts w:ascii="Arial" w:eastAsia="Calibri" w:hAnsi="Arial" w:cs="Arial"/>
          <w:b/>
          <w:bCs/>
          <w:color w:val="C00000"/>
          <w:sz w:val="24"/>
          <w:szCs w:val="24"/>
        </w:rPr>
      </w:pPr>
      <w:r w:rsidRPr="00A451ED">
        <w:rPr>
          <w:rFonts w:ascii="Arial" w:hAnsi="Arial" w:cs="Arial"/>
          <w:bCs/>
          <w:noProof/>
          <w:color w:val="C00000"/>
          <w:sz w:val="24"/>
          <w:szCs w:val="24"/>
          <w:lang w:eastAsia="ko-KR"/>
        </w:rPr>
        <mc:AlternateContent>
          <mc:Choice Requires="wps">
            <w:drawing>
              <wp:anchor distT="0" distB="0" distL="114300" distR="114300" simplePos="0" relativeHeight="251663360" behindDoc="0" locked="0" layoutInCell="1" allowOverlap="1" wp14:anchorId="3A1092B8" wp14:editId="58F32858">
                <wp:simplePos x="0" y="0"/>
                <wp:positionH relativeFrom="column">
                  <wp:posOffset>-578485</wp:posOffset>
                </wp:positionH>
                <wp:positionV relativeFrom="paragraph">
                  <wp:posOffset>-616585</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3786777" w14:textId="08AE8CF5" w:rsidR="00DE1B67" w:rsidRPr="00CC7576" w:rsidRDefault="0097670A" w:rsidP="00DE1B67">
                            <w:pPr>
                              <w:jc w:val="center"/>
                              <w:rPr>
                                <w:rFonts w:ascii="Arial" w:hAnsi="Arial" w:cs="Arial"/>
                                <w:b/>
                                <w:color w:val="FFFFFF" w:themeColor="background1"/>
                                <w:sz w:val="20"/>
                                <w:szCs w:val="20"/>
                              </w:rPr>
                            </w:pPr>
                            <w:r>
                              <w:rPr>
                                <w:rFonts w:ascii="Arial" w:hAnsi="Arial" w:cs="Arial"/>
                                <w:b/>
                                <w:color w:val="FFFFFF" w:themeColor="background1"/>
                                <w:sz w:val="20"/>
                                <w:szCs w:val="20"/>
                              </w:rPr>
                              <w:t>Patent in Vietn</w:t>
                            </w:r>
                            <w:r w:rsidR="00DE1B67" w:rsidRPr="008E3D29">
                              <w:rPr>
                                <w:rFonts w:ascii="Arial" w:hAnsi="Arial" w:cs="Arial"/>
                                <w:b/>
                                <w:color w:val="FFFFFF" w:themeColor="background1"/>
                                <w:sz w:val="20"/>
                                <w:szCs w:val="20"/>
                              </w:rPr>
                              <w:t>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left:0;text-align:left;margin-left:-45.55pt;margin-top:-48.55pt;width:313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" fillcolor="#f56b2e" strokecolor="#f56b2e" strokeweight="1pt">
                <v:textbox>
                  <w:txbxContent>
                    <w:p w14:paraId="43786777" w14:textId="08AE8CF5" w:rsidR="00DE1B67" w:rsidRPr="00CC7576" w:rsidRDefault="0097670A" w:rsidP="00DE1B67">
                      <w:pPr>
                        <w:jc w:val="center"/>
                        <w:rPr>
                          <w:rFonts w:ascii="Arial" w:hAnsi="Arial" w:cs="Arial"/>
                          <w:b/>
                          <w:color w:val="FFFFFF" w:themeColor="background1"/>
                          <w:sz w:val="20"/>
                          <w:szCs w:val="20"/>
                        </w:rPr>
                      </w:pPr>
                      <w:r>
                        <w:rPr>
                          <w:rFonts w:ascii="Arial" w:hAnsi="Arial" w:cs="Arial"/>
                          <w:b/>
                          <w:color w:val="FFFFFF" w:themeColor="background1"/>
                          <w:sz w:val="20"/>
                          <w:szCs w:val="20"/>
                        </w:rPr>
                        <w:t>Patent in Vietn</w:t>
                      </w:r>
                      <w:r w:rsidR="00DE1B67" w:rsidRPr="008E3D29">
                        <w:rPr>
                          <w:rFonts w:ascii="Arial" w:hAnsi="Arial" w:cs="Arial"/>
                          <w:b/>
                          <w:color w:val="FFFFFF" w:themeColor="background1"/>
                          <w:sz w:val="20"/>
                          <w:szCs w:val="20"/>
                        </w:rPr>
                        <w:t>am</w:t>
                      </w:r>
                    </w:p>
                  </w:txbxContent>
                </v:textbox>
              </v:rect>
            </w:pict>
          </mc:Fallback>
        </mc:AlternateContent>
      </w:r>
      <w:r w:rsidR="0097670A" w:rsidRPr="00A451ED">
        <w:rPr>
          <w:rFonts w:ascii="Arial" w:hAnsi="Arial" w:cs="Arial"/>
          <w:bCs/>
          <w:noProof/>
          <w:color w:val="C00000"/>
          <w:sz w:val="24"/>
          <w:szCs w:val="24"/>
          <w:lang w:eastAsia="ko-KR"/>
        </w:rPr>
        <mc:AlternateContent>
          <mc:Choice Requires="wps">
            <w:drawing>
              <wp:anchor distT="0" distB="0" distL="114300" distR="114300" simplePos="0" relativeHeight="251665408" behindDoc="0" locked="0" layoutInCell="1" allowOverlap="1" wp14:anchorId="63CED9B9" wp14:editId="0CBE17FA">
                <wp:simplePos x="0" y="0"/>
                <wp:positionH relativeFrom="column">
                  <wp:posOffset>6337935</wp:posOffset>
                </wp:positionH>
                <wp:positionV relativeFrom="paragraph">
                  <wp:posOffset>-596265</wp:posOffset>
                </wp:positionV>
                <wp:extent cx="323850" cy="10572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E85BE" w14:textId="77777777" w:rsidR="0097670A" w:rsidRDefault="0097670A" w:rsidP="0097670A">
                            <w:pPr>
                              <w:spacing w:after="0" w:line="240" w:lineRule="auto"/>
                              <w:jc w:val="center"/>
                              <w:rPr>
                                <w:rFonts w:ascii="Arial" w:hAnsi="Arial" w:cs="Arial"/>
                                <w:color w:val="FFFFFF" w:themeColor="background1"/>
                              </w:rPr>
                            </w:pPr>
                          </w:p>
                          <w:p w14:paraId="2ECDBB8B" w14:textId="77777777" w:rsidR="0097670A" w:rsidRPr="00454E68" w:rsidRDefault="0097670A" w:rsidP="0097670A">
                            <w:pPr>
                              <w:spacing w:after="0" w:line="240" w:lineRule="auto"/>
                              <w:jc w:val="center"/>
                              <w:rPr>
                                <w:rFonts w:ascii="Arial" w:hAnsi="Arial" w:cs="Arial"/>
                                <w:color w:val="FFFFFF" w:themeColor="background1"/>
                                <w:sz w:val="18"/>
                                <w:szCs w:val="18"/>
                              </w:rPr>
                            </w:pPr>
                          </w:p>
                          <w:p w14:paraId="25A07E18" w14:textId="77777777" w:rsidR="0097670A" w:rsidRPr="001D7359" w:rsidRDefault="0097670A" w:rsidP="0097670A">
                            <w:pPr>
                              <w:spacing w:after="0" w:line="240" w:lineRule="auto"/>
                              <w:rPr>
                                <w:rFonts w:ascii="Arial" w:hAnsi="Arial" w:cs="Arial"/>
                                <w:b/>
                                <w:color w:val="FFFFFF" w:themeColor="background1"/>
                                <w:sz w:val="20"/>
                                <w:szCs w:val="20"/>
                              </w:rPr>
                            </w:pPr>
                            <w:r w:rsidRPr="00454E68">
                              <w:rPr>
                                <w:rFonts w:ascii="Arial" w:hAnsi="Arial" w:cs="Arial"/>
                                <w:color w:val="FFFFFF" w:themeColor="background1"/>
                                <w:sz w:val="18"/>
                                <w:szCs w:val="18"/>
                              </w:rPr>
                              <w:t xml:space="preserve">            </w:t>
                            </w:r>
                            <w:r w:rsidRPr="001D7359">
                              <w:rPr>
                                <w:rFonts w:ascii="Arial" w:hAnsi="Arial" w:cs="Arial"/>
                                <w:b/>
                                <w:color w:val="FFFFFF" w:themeColor="background1"/>
                                <w:sz w:val="20"/>
                                <w:szCs w:val="20"/>
                              </w:rPr>
                              <w:t>Patent in Vietnam</w:t>
                            </w:r>
                          </w:p>
                          <w:p w14:paraId="191213D8" w14:textId="77777777" w:rsidR="0097670A" w:rsidRDefault="0097670A" w:rsidP="0097670A">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499.05pt;margin-top:-46.95pt;width:25.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" fillcolor="#00b39c" strokecolor="#00b39c" strokeweight="1pt">
                <v:textbox style="layout-flow:vertical">
                  <w:txbxContent>
                    <w:p w14:paraId="572E85BE" w14:textId="77777777" w:rsidR="0097670A" w:rsidRDefault="0097670A" w:rsidP="0097670A">
                      <w:pPr>
                        <w:spacing w:after="0" w:line="240" w:lineRule="auto"/>
                        <w:jc w:val="center"/>
                        <w:rPr>
                          <w:rFonts w:ascii="Arial" w:hAnsi="Arial" w:cs="Arial"/>
                          <w:color w:val="FFFFFF" w:themeColor="background1"/>
                        </w:rPr>
                      </w:pPr>
                    </w:p>
                    <w:p w14:paraId="2ECDBB8B" w14:textId="77777777" w:rsidR="0097670A" w:rsidRPr="00454E68" w:rsidRDefault="0097670A" w:rsidP="0097670A">
                      <w:pPr>
                        <w:spacing w:after="0" w:line="240" w:lineRule="auto"/>
                        <w:jc w:val="center"/>
                        <w:rPr>
                          <w:rFonts w:ascii="Arial" w:hAnsi="Arial" w:cs="Arial"/>
                          <w:color w:val="FFFFFF" w:themeColor="background1"/>
                          <w:sz w:val="18"/>
                          <w:szCs w:val="18"/>
                        </w:rPr>
                      </w:pPr>
                    </w:p>
                    <w:p w14:paraId="25A07E18" w14:textId="77777777" w:rsidR="0097670A" w:rsidRPr="001D7359" w:rsidRDefault="0097670A" w:rsidP="0097670A">
                      <w:pPr>
                        <w:spacing w:after="0" w:line="240" w:lineRule="auto"/>
                        <w:rPr>
                          <w:rFonts w:ascii="Arial" w:hAnsi="Arial" w:cs="Arial"/>
                          <w:b/>
                          <w:color w:val="FFFFFF" w:themeColor="background1"/>
                          <w:sz w:val="20"/>
                          <w:szCs w:val="20"/>
                        </w:rPr>
                      </w:pPr>
                      <w:r w:rsidRPr="00454E68">
                        <w:rPr>
                          <w:rFonts w:ascii="Arial" w:hAnsi="Arial" w:cs="Arial"/>
                          <w:color w:val="FFFFFF" w:themeColor="background1"/>
                          <w:sz w:val="18"/>
                          <w:szCs w:val="18"/>
                        </w:rPr>
                        <w:t xml:space="preserve">            </w:t>
                      </w:r>
                      <w:r w:rsidRPr="001D7359">
                        <w:rPr>
                          <w:rFonts w:ascii="Arial" w:hAnsi="Arial" w:cs="Arial"/>
                          <w:b/>
                          <w:color w:val="FFFFFF" w:themeColor="background1"/>
                          <w:sz w:val="20"/>
                          <w:szCs w:val="20"/>
                        </w:rPr>
                        <w:t>Patent in Vietnam</w:t>
                      </w:r>
                    </w:p>
                    <w:p w14:paraId="191213D8" w14:textId="77777777" w:rsidR="0097670A" w:rsidRDefault="0097670A" w:rsidP="0097670A">
                      <w:pPr>
                        <w:jc w:val="center"/>
                      </w:pPr>
                    </w:p>
                  </w:txbxContent>
                </v:textbox>
              </v:rect>
            </w:pict>
          </mc:Fallback>
        </mc:AlternateContent>
      </w:r>
      <w:r w:rsidR="005B01D6" w:rsidRPr="005B01D6">
        <w:rPr>
          <w:rFonts w:ascii="Arial" w:eastAsia="Calibri" w:hAnsi="Arial" w:cs="Arial"/>
          <w:b/>
          <w:bCs/>
          <w:color w:val="C00000"/>
          <w:sz w:val="24"/>
          <w:szCs w:val="24"/>
        </w:rPr>
        <w:t>Vietnam’s Amended IP Law Of 2022: How 12 Critical Patent Provisions Affect You</w:t>
      </w:r>
    </w:p>
    <w:p w14:paraId="5EEDBB05" w14:textId="77777777" w:rsidR="005B01D6" w:rsidRPr="005B01D6" w:rsidRDefault="005B01D6" w:rsidP="005B01D6">
      <w:pPr>
        <w:spacing w:after="0" w:line="240" w:lineRule="auto"/>
        <w:jc w:val="center"/>
        <w:rPr>
          <w:rFonts w:ascii="Arial" w:eastAsia="Calibri" w:hAnsi="Arial" w:cs="Arial"/>
          <w:b/>
          <w:bCs/>
          <w:color w:val="C00000"/>
          <w:sz w:val="24"/>
          <w:szCs w:val="24"/>
        </w:rPr>
      </w:pPr>
    </w:p>
    <w:p w14:paraId="7D5B18B1" w14:textId="77777777" w:rsidR="005B01D6" w:rsidRPr="005B01D6" w:rsidRDefault="005B01D6" w:rsidP="005B01D6">
      <w:pPr>
        <w:spacing w:after="0" w:line="240" w:lineRule="auto"/>
        <w:jc w:val="both"/>
        <w:rPr>
          <w:rFonts w:ascii="Arial" w:eastAsia="Calibri" w:hAnsi="Arial" w:cs="Arial"/>
          <w:color w:val="333333"/>
          <w:sz w:val="20"/>
          <w:szCs w:val="20"/>
          <w:shd w:val="clear" w:color="auto" w:fill="FFFFFF"/>
        </w:rPr>
      </w:pPr>
      <w:bookmarkStart w:id="0" w:name="_Hlk107820982"/>
    </w:p>
    <w:p w14:paraId="2ACF38F6" w14:textId="77777777" w:rsidR="005B01D6" w:rsidRPr="005B01D6" w:rsidRDefault="005B01D6" w:rsidP="005B01D6">
      <w:pPr>
        <w:spacing w:after="0" w:line="240" w:lineRule="auto"/>
        <w:jc w:val="both"/>
        <w:rPr>
          <w:rFonts w:ascii="Arial" w:eastAsia="Times New Roman" w:hAnsi="Arial" w:cs="Arial"/>
          <w:i/>
          <w:iCs/>
          <w:color w:val="333333"/>
          <w:sz w:val="20"/>
          <w:szCs w:val="20"/>
          <w:shd w:val="clear" w:color="auto" w:fill="FFFFFF"/>
        </w:rPr>
      </w:pPr>
      <w:r w:rsidRPr="005B01D6">
        <w:rPr>
          <w:rFonts w:ascii="Arial" w:eastAsia="Times New Roman" w:hAnsi="Arial" w:cs="Arial"/>
          <w:i/>
          <w:iCs/>
          <w:color w:val="333333"/>
          <w:sz w:val="20"/>
          <w:szCs w:val="20"/>
          <w:shd w:val="clear" w:color="auto" w:fill="FFFFFF"/>
        </w:rPr>
        <w:t xml:space="preserve">The Amended IP Law of 2022 is the third amendment to the original IP law of Vietnam that was passed in 2005, revised in 2009 and then in 2019 </w:t>
      </w:r>
      <w:bookmarkStart w:id="1" w:name="_Hlk107821262"/>
      <w:bookmarkStart w:id="2" w:name="_Hlk107821472"/>
      <w:r w:rsidRPr="005B01D6">
        <w:rPr>
          <w:rFonts w:ascii="Arial" w:eastAsia="Times New Roman" w:hAnsi="Arial" w:cs="Arial"/>
          <w:i/>
          <w:iCs/>
          <w:color w:val="333333"/>
          <w:sz w:val="20"/>
          <w:szCs w:val="20"/>
          <w:shd w:val="clear" w:color="auto" w:fill="FFFFFF"/>
        </w:rPr>
        <w:t>(“</w:t>
      </w:r>
      <w:r w:rsidRPr="005B01D6">
        <w:rPr>
          <w:rFonts w:ascii="Arial" w:eastAsia="Times New Roman" w:hAnsi="Arial" w:cs="Arial"/>
          <w:b/>
          <w:bCs/>
          <w:i/>
          <w:iCs/>
          <w:color w:val="333333"/>
          <w:sz w:val="20"/>
          <w:szCs w:val="20"/>
          <w:shd w:val="clear" w:color="auto" w:fill="FFFFFF"/>
        </w:rPr>
        <w:t>the</w:t>
      </w:r>
      <w:r w:rsidRPr="005B01D6">
        <w:rPr>
          <w:rFonts w:ascii="Arial" w:eastAsia="Times New Roman" w:hAnsi="Arial" w:cs="Arial"/>
          <w:i/>
          <w:iCs/>
          <w:color w:val="333333"/>
          <w:sz w:val="20"/>
          <w:szCs w:val="20"/>
          <w:shd w:val="clear" w:color="auto" w:fill="FFFFFF"/>
        </w:rPr>
        <w:t xml:space="preserve"> </w:t>
      </w:r>
      <w:r w:rsidRPr="005B01D6">
        <w:rPr>
          <w:rFonts w:ascii="Arial" w:eastAsia="Times New Roman" w:hAnsi="Arial" w:cs="Arial"/>
          <w:b/>
          <w:bCs/>
          <w:i/>
          <w:iCs/>
          <w:color w:val="333333"/>
          <w:sz w:val="20"/>
          <w:szCs w:val="20"/>
          <w:shd w:val="clear" w:color="auto" w:fill="FFFFFF"/>
        </w:rPr>
        <w:t>amended IP Law</w:t>
      </w:r>
      <w:r w:rsidRPr="005B01D6">
        <w:rPr>
          <w:rFonts w:ascii="Arial" w:eastAsia="Times New Roman" w:hAnsi="Arial" w:cs="Arial"/>
          <w:i/>
          <w:iCs/>
          <w:color w:val="333333"/>
          <w:sz w:val="20"/>
          <w:szCs w:val="20"/>
          <w:shd w:val="clear" w:color="auto" w:fill="FFFFFF"/>
        </w:rPr>
        <w:t>” or “</w:t>
      </w:r>
      <w:r w:rsidRPr="005B01D6">
        <w:rPr>
          <w:rFonts w:ascii="Arial" w:eastAsia="Times New Roman" w:hAnsi="Arial" w:cs="Arial"/>
          <w:b/>
          <w:bCs/>
          <w:i/>
          <w:iCs/>
          <w:color w:val="333333"/>
          <w:sz w:val="20"/>
          <w:szCs w:val="20"/>
          <w:shd w:val="clear" w:color="auto" w:fill="FFFFFF"/>
        </w:rPr>
        <w:t>the</w:t>
      </w:r>
      <w:r w:rsidRPr="005B01D6">
        <w:rPr>
          <w:rFonts w:ascii="Arial" w:eastAsia="Times New Roman" w:hAnsi="Arial" w:cs="Arial"/>
          <w:i/>
          <w:iCs/>
          <w:color w:val="333333"/>
          <w:sz w:val="20"/>
          <w:szCs w:val="20"/>
          <w:shd w:val="clear" w:color="auto" w:fill="FFFFFF"/>
        </w:rPr>
        <w:t xml:space="preserve"> </w:t>
      </w:r>
      <w:r w:rsidRPr="005B01D6">
        <w:rPr>
          <w:rFonts w:ascii="Arial" w:eastAsia="Times New Roman" w:hAnsi="Arial" w:cs="Arial"/>
          <w:b/>
          <w:bCs/>
          <w:i/>
          <w:iCs/>
          <w:color w:val="333333"/>
          <w:sz w:val="20"/>
          <w:szCs w:val="20"/>
          <w:shd w:val="clear" w:color="auto" w:fill="FFFFFF"/>
        </w:rPr>
        <w:t>2022 IP Law</w:t>
      </w:r>
      <w:r w:rsidRPr="005B01D6">
        <w:rPr>
          <w:rFonts w:ascii="Arial" w:eastAsia="Times New Roman" w:hAnsi="Arial" w:cs="Arial"/>
          <w:i/>
          <w:iCs/>
          <w:color w:val="333333"/>
          <w:sz w:val="20"/>
          <w:szCs w:val="20"/>
          <w:shd w:val="clear" w:color="auto" w:fill="FFFFFF"/>
        </w:rPr>
        <w:t>”). The 2022 IP Law of Vietnam will take effect from 0</w:t>
      </w:r>
      <w:r w:rsidRPr="005B01D6">
        <w:rPr>
          <w:rFonts w:ascii="Arial" w:eastAsia="Times New Roman" w:hAnsi="Arial" w:cs="Arial"/>
          <w:i/>
          <w:iCs/>
          <w:color w:val="333333"/>
          <w:sz w:val="20"/>
          <w:szCs w:val="20"/>
        </w:rPr>
        <w:t>1 January 2023</w:t>
      </w:r>
      <w:r w:rsidRPr="005B01D6">
        <w:rPr>
          <w:rFonts w:ascii="Arial" w:eastAsia="Times New Roman" w:hAnsi="Arial" w:cs="Arial"/>
          <w:i/>
          <w:iCs/>
          <w:color w:val="333333"/>
          <w:sz w:val="20"/>
          <w:szCs w:val="20"/>
          <w:shd w:val="clear" w:color="auto" w:fill="FFFFFF"/>
        </w:rPr>
        <w:t xml:space="preserve">, except for provisions on sound marks that was effective on 14 January 2022, and provisions on protection of testing data for agricultural chemicals that will be effective as of 14 January 2024. The 2022 IP law contains extensive amendments which are considered a </w:t>
      </w:r>
      <w:r w:rsidRPr="005B01D6">
        <w:rPr>
          <w:rFonts w:ascii="Arial" w:eastAsia="Times New Roman" w:hAnsi="Arial" w:cs="Arial"/>
          <w:b/>
          <w:bCs/>
          <w:i/>
          <w:iCs/>
          <w:color w:val="333333"/>
          <w:sz w:val="20"/>
          <w:szCs w:val="20"/>
          <w:shd w:val="clear" w:color="auto" w:fill="FFFFFF"/>
        </w:rPr>
        <w:t>major overhaul</w:t>
      </w:r>
      <w:r w:rsidRPr="005B01D6">
        <w:rPr>
          <w:rFonts w:ascii="Arial" w:eastAsia="Times New Roman" w:hAnsi="Arial" w:cs="Arial"/>
          <w:i/>
          <w:iCs/>
          <w:color w:val="333333"/>
          <w:sz w:val="20"/>
          <w:szCs w:val="20"/>
          <w:shd w:val="clear" w:color="auto" w:fill="FFFFFF"/>
        </w:rPr>
        <w:t xml:space="preserve"> of the current Vietnamese patent system. As a result of Vietnam's recent accession to a number of IP agreements, including the CPTPP, EVFTA, and RCEP, numerous critical patent provisions are added and amended to the 2022 IP Law in order to make the patent process in Vietnam more efficient and effective.</w:t>
      </w:r>
    </w:p>
    <w:p w14:paraId="6AC8F62E" w14:textId="77777777" w:rsidR="005B01D6" w:rsidRPr="005B01D6" w:rsidRDefault="005B01D6" w:rsidP="005B01D6">
      <w:pPr>
        <w:spacing w:after="0" w:line="240" w:lineRule="auto"/>
        <w:jc w:val="both"/>
        <w:rPr>
          <w:rFonts w:ascii="Times New Roman" w:eastAsia="Times New Roman" w:hAnsi="Times New Roman" w:cs="Times New Roman"/>
          <w:sz w:val="24"/>
          <w:szCs w:val="24"/>
        </w:rPr>
      </w:pPr>
    </w:p>
    <w:p w14:paraId="3A99211F" w14:textId="77777777" w:rsidR="005B01D6" w:rsidRPr="005B01D6" w:rsidRDefault="005B01D6" w:rsidP="005B01D6">
      <w:pPr>
        <w:spacing w:after="0" w:line="240" w:lineRule="auto"/>
        <w:jc w:val="both"/>
        <w:rPr>
          <w:rFonts w:ascii="Arial" w:eastAsia="Calibri" w:hAnsi="Arial" w:cs="Arial"/>
          <w:b/>
          <w:bCs/>
          <w:color w:val="C00000"/>
          <w:sz w:val="24"/>
          <w:szCs w:val="24"/>
        </w:rPr>
      </w:pPr>
      <w:r w:rsidRPr="005B01D6">
        <w:rPr>
          <w:rFonts w:ascii="Arial" w:eastAsia="Calibri" w:hAnsi="Arial" w:cs="Arial"/>
          <w:iCs/>
          <w:color w:val="333333"/>
          <w:sz w:val="20"/>
          <w:szCs w:val="20"/>
          <w:shd w:val="clear" w:color="auto" w:fill="FFFFFF"/>
        </w:rPr>
        <w:t>KENFOX IP &amp; Law Office provides 12 key provisions adopted from the amended IP law concerning patent-related matters</w:t>
      </w:r>
      <w:bookmarkEnd w:id="0"/>
      <w:bookmarkEnd w:id="1"/>
      <w:bookmarkEnd w:id="2"/>
      <w:r w:rsidRPr="005B01D6">
        <w:rPr>
          <w:rFonts w:ascii="Arial" w:eastAsia="Calibri" w:hAnsi="Arial" w:cs="Arial"/>
          <w:iCs/>
          <w:color w:val="333333"/>
          <w:sz w:val="20"/>
          <w:szCs w:val="20"/>
          <w:shd w:val="clear" w:color="auto" w:fill="FFFFFF"/>
        </w:rPr>
        <w:t xml:space="preserve"> for your consideration.</w:t>
      </w:r>
    </w:p>
    <w:p w14:paraId="1F987702" w14:textId="77777777" w:rsidR="005B01D6" w:rsidRPr="005B01D6" w:rsidRDefault="005B01D6" w:rsidP="005B01D6">
      <w:pPr>
        <w:spacing w:after="0" w:line="240" w:lineRule="auto"/>
        <w:jc w:val="both"/>
        <w:rPr>
          <w:rFonts w:ascii="Arial" w:eastAsia="Calibri" w:hAnsi="Arial" w:cs="Arial"/>
          <w:b/>
          <w:bCs/>
          <w:sz w:val="20"/>
          <w:szCs w:val="20"/>
        </w:rPr>
      </w:pPr>
    </w:p>
    <w:p w14:paraId="371A4BEA" w14:textId="77777777" w:rsidR="005B01D6" w:rsidRPr="005B01D6" w:rsidRDefault="005B01D6" w:rsidP="005B01D6">
      <w:pPr>
        <w:spacing w:after="0" w:line="240" w:lineRule="auto"/>
        <w:jc w:val="both"/>
        <w:rPr>
          <w:rFonts w:ascii="Arial" w:hAnsi="Arial" w:cs="Arial"/>
          <w:b/>
          <w:bCs/>
          <w:color w:val="0070C0"/>
          <w:sz w:val="20"/>
          <w:szCs w:val="20"/>
        </w:rPr>
      </w:pPr>
      <w:r w:rsidRPr="005B01D6">
        <w:rPr>
          <w:rFonts w:ascii="Arial" w:hAnsi="Arial" w:cs="Arial"/>
          <w:b/>
          <w:bCs/>
          <w:color w:val="0070C0"/>
          <w:sz w:val="20"/>
          <w:szCs w:val="20"/>
        </w:rPr>
        <w:t>1. Third party’s observation/Opposition against patent applications in Vietnam</w:t>
      </w:r>
    </w:p>
    <w:p w14:paraId="06DF0EBA" w14:textId="77777777" w:rsidR="005B01D6" w:rsidRPr="005B01D6" w:rsidRDefault="005B01D6" w:rsidP="005B01D6">
      <w:pPr>
        <w:spacing w:after="0" w:line="240" w:lineRule="auto"/>
        <w:jc w:val="both"/>
        <w:textAlignment w:val="baseline"/>
        <w:rPr>
          <w:rFonts w:ascii="Arial" w:eastAsia="Calibri" w:hAnsi="Arial" w:cs="Arial"/>
          <w:sz w:val="20"/>
          <w:szCs w:val="20"/>
        </w:rPr>
      </w:pPr>
    </w:p>
    <w:p w14:paraId="3644AA52" w14:textId="77777777" w:rsidR="005B01D6" w:rsidRPr="005B01D6" w:rsidRDefault="005B01D6" w:rsidP="005B01D6">
      <w:pPr>
        <w:spacing w:after="0" w:line="240" w:lineRule="auto"/>
        <w:jc w:val="both"/>
        <w:textAlignment w:val="baseline"/>
        <w:rPr>
          <w:rFonts w:ascii="Arial" w:eastAsia="Calibri" w:hAnsi="Arial" w:cs="Arial"/>
          <w:sz w:val="20"/>
          <w:szCs w:val="20"/>
        </w:rPr>
      </w:pPr>
      <w:r w:rsidRPr="005B01D6">
        <w:rPr>
          <w:rFonts w:ascii="Arial" w:eastAsia="Calibri" w:hAnsi="Arial" w:cs="Arial"/>
          <w:sz w:val="20"/>
          <w:szCs w:val="20"/>
        </w:rPr>
        <w:t>The competent agency in charge of IP (in Vietnam, it is the Intellectual Property Office of Vietnam (“</w:t>
      </w:r>
      <w:r w:rsidRPr="005B01D6">
        <w:rPr>
          <w:rFonts w:ascii="Arial" w:eastAsia="Calibri" w:hAnsi="Arial" w:cs="Arial"/>
          <w:b/>
          <w:bCs/>
          <w:sz w:val="20"/>
          <w:szCs w:val="20"/>
        </w:rPr>
        <w:t>IP VIETNAM</w:t>
      </w:r>
      <w:r w:rsidRPr="005B01D6">
        <w:rPr>
          <w:rFonts w:ascii="Arial" w:eastAsia="Calibri" w:hAnsi="Arial" w:cs="Arial"/>
          <w:sz w:val="20"/>
          <w:szCs w:val="20"/>
        </w:rPr>
        <w:t xml:space="preserve">”)) is </w:t>
      </w:r>
      <w:r w:rsidRPr="005B01D6">
        <w:rPr>
          <w:rFonts w:ascii="Arial" w:eastAsia="Calibri" w:hAnsi="Arial" w:cs="Arial"/>
          <w:color w:val="222222"/>
          <w:sz w:val="20"/>
          <w:szCs w:val="20"/>
          <w:shd w:val="clear" w:color="auto" w:fill="FFFFFF"/>
        </w:rPr>
        <w:t>responsible</w:t>
      </w:r>
      <w:r w:rsidRPr="005B01D6">
        <w:rPr>
          <w:rFonts w:ascii="Arial" w:eastAsia="Calibri" w:hAnsi="Arial" w:cs="Arial"/>
          <w:sz w:val="20"/>
          <w:szCs w:val="20"/>
        </w:rPr>
        <w:t xml:space="preserve"> for determining whether to grant or deny protection to IP subject matters. However, the source of information and database accessed by the competent agency during search and examination of the </w:t>
      </w:r>
      <w:proofErr w:type="spellStart"/>
      <w:r w:rsidRPr="005B01D6">
        <w:rPr>
          <w:rFonts w:ascii="Arial" w:eastAsia="Calibri" w:hAnsi="Arial" w:cs="Arial"/>
          <w:sz w:val="20"/>
          <w:szCs w:val="20"/>
        </w:rPr>
        <w:t>registrability</w:t>
      </w:r>
      <w:proofErr w:type="spellEnd"/>
      <w:r w:rsidRPr="005B01D6">
        <w:rPr>
          <w:rFonts w:ascii="Arial" w:eastAsia="Calibri" w:hAnsi="Arial" w:cs="Arial"/>
          <w:sz w:val="20"/>
          <w:szCs w:val="20"/>
        </w:rPr>
        <w:t xml:space="preserve"> of IP subject matters are incomplete, which may result in flaws in the examination procedure. The occurrence of disputes and requests to partly or entirely invalidate IP subject matters after grant reflects this reality. Therefore, a third party's written opinion raised during the pendency of an application is considered an addition of relevant information and </w:t>
      </w:r>
      <w:proofErr w:type="gramStart"/>
      <w:r w:rsidRPr="005B01D6">
        <w:rPr>
          <w:rFonts w:ascii="Arial" w:eastAsia="Calibri" w:hAnsi="Arial" w:cs="Arial"/>
          <w:sz w:val="20"/>
          <w:szCs w:val="20"/>
        </w:rPr>
        <w:t>important particulars</w:t>
      </w:r>
      <w:proofErr w:type="gramEnd"/>
      <w:r w:rsidRPr="005B01D6">
        <w:rPr>
          <w:rFonts w:ascii="Arial" w:eastAsia="Calibri" w:hAnsi="Arial" w:cs="Arial"/>
          <w:sz w:val="20"/>
          <w:szCs w:val="20"/>
        </w:rPr>
        <w:t xml:space="preserve"> to limit flaws, which helps the competent agency make the correct decision in granting or refusing protection for IP subject matters, and minimizes the negative impacts of the IP protection mechanism on the society.</w:t>
      </w:r>
    </w:p>
    <w:p w14:paraId="0346E0D6" w14:textId="77777777" w:rsidR="005B01D6" w:rsidRPr="005B01D6" w:rsidRDefault="005B01D6" w:rsidP="005B01D6">
      <w:pPr>
        <w:spacing w:after="0" w:line="240" w:lineRule="auto"/>
        <w:jc w:val="both"/>
        <w:textAlignment w:val="baseline"/>
        <w:rPr>
          <w:rFonts w:ascii="Arial" w:eastAsia="Calibri" w:hAnsi="Arial" w:cs="Arial"/>
          <w:sz w:val="20"/>
          <w:szCs w:val="20"/>
        </w:rPr>
      </w:pPr>
    </w:p>
    <w:p w14:paraId="512C2B70" w14:textId="77777777" w:rsidR="005B01D6" w:rsidRPr="005B01D6" w:rsidRDefault="005B01D6" w:rsidP="005B01D6">
      <w:pPr>
        <w:numPr>
          <w:ilvl w:val="0"/>
          <w:numId w:val="9"/>
        </w:numPr>
        <w:spacing w:after="0" w:line="240" w:lineRule="auto"/>
        <w:ind w:left="317" w:hanging="283"/>
        <w:jc w:val="both"/>
        <w:textAlignment w:val="baseline"/>
        <w:rPr>
          <w:rFonts w:ascii="Arial" w:eastAsia="Calibri" w:hAnsi="Arial" w:cs="Arial"/>
          <w:sz w:val="20"/>
          <w:szCs w:val="20"/>
        </w:rPr>
      </w:pPr>
      <w:r w:rsidRPr="005B01D6">
        <w:rPr>
          <w:rFonts w:ascii="Arial" w:eastAsia="Calibri" w:hAnsi="Arial" w:cs="Arial"/>
          <w:sz w:val="20"/>
          <w:szCs w:val="20"/>
        </w:rPr>
        <w:t xml:space="preserve">Opposition is an administrative procedure that allows a third party to challenge the validity of an industrial property registration application and then request the competent agency to refuse the grant of a protection title, provided that the opponent provides the legal grounds to prove his case. </w:t>
      </w:r>
    </w:p>
    <w:p w14:paraId="268B3C49" w14:textId="77777777" w:rsidR="005B01D6" w:rsidRPr="005B01D6" w:rsidRDefault="005B01D6" w:rsidP="005B01D6">
      <w:pPr>
        <w:numPr>
          <w:ilvl w:val="0"/>
          <w:numId w:val="9"/>
        </w:numPr>
        <w:spacing w:after="0" w:line="240" w:lineRule="auto"/>
        <w:ind w:left="360"/>
        <w:jc w:val="both"/>
        <w:textAlignment w:val="baseline"/>
        <w:rPr>
          <w:rFonts w:ascii="Arial" w:eastAsia="Calibri" w:hAnsi="Arial" w:cs="Arial"/>
          <w:sz w:val="20"/>
          <w:szCs w:val="20"/>
        </w:rPr>
      </w:pPr>
      <w:r w:rsidRPr="005B01D6">
        <w:rPr>
          <w:rFonts w:ascii="Arial" w:eastAsia="Calibri" w:hAnsi="Arial" w:cs="Arial"/>
          <w:sz w:val="20"/>
          <w:szCs w:val="20"/>
        </w:rPr>
        <w:t xml:space="preserve">Third party’s observation is a procedure that allows the public to provide their opinion on industrial property registration applications, from which the examining agency makes decisions on applications under examination. Third-party’s </w:t>
      </w:r>
      <w:proofErr w:type="gramStart"/>
      <w:r w:rsidRPr="005B01D6">
        <w:rPr>
          <w:rFonts w:ascii="Arial" w:eastAsia="Calibri" w:hAnsi="Arial" w:cs="Arial"/>
          <w:sz w:val="20"/>
          <w:szCs w:val="20"/>
        </w:rPr>
        <w:t>observation often serve</w:t>
      </w:r>
      <w:proofErr w:type="gramEnd"/>
      <w:r w:rsidRPr="005B01D6">
        <w:rPr>
          <w:rFonts w:ascii="Arial" w:eastAsia="Calibri" w:hAnsi="Arial" w:cs="Arial"/>
          <w:sz w:val="20"/>
          <w:szCs w:val="20"/>
        </w:rPr>
        <w:t xml:space="preserve"> as a reference source for examiners during the application examination process. </w:t>
      </w:r>
    </w:p>
    <w:p w14:paraId="469489C5" w14:textId="77777777" w:rsidR="005B01D6" w:rsidRPr="005B01D6" w:rsidRDefault="005B01D6" w:rsidP="005B01D6">
      <w:pPr>
        <w:spacing w:after="0" w:line="240" w:lineRule="auto"/>
        <w:jc w:val="both"/>
        <w:textAlignment w:val="baseline"/>
        <w:rPr>
          <w:rFonts w:ascii="Arial" w:eastAsia="Calibri" w:hAnsi="Arial" w:cs="Arial"/>
          <w:sz w:val="20"/>
          <w:szCs w:val="20"/>
        </w:rPr>
      </w:pPr>
    </w:p>
    <w:p w14:paraId="4B762ED2" w14:textId="77777777" w:rsidR="005B01D6" w:rsidRPr="005B01D6" w:rsidRDefault="005B01D6" w:rsidP="005B01D6">
      <w:pPr>
        <w:spacing w:after="0" w:line="240" w:lineRule="auto"/>
        <w:jc w:val="both"/>
        <w:textAlignment w:val="baseline"/>
        <w:rPr>
          <w:rFonts w:ascii="Arial" w:eastAsia="Calibri" w:hAnsi="Arial" w:cs="Arial"/>
          <w:sz w:val="20"/>
          <w:szCs w:val="20"/>
        </w:rPr>
      </w:pPr>
      <w:r w:rsidRPr="005B01D6">
        <w:rPr>
          <w:rFonts w:ascii="Arial" w:eastAsia="Calibri" w:hAnsi="Arial" w:cs="Arial"/>
          <w:sz w:val="20"/>
          <w:szCs w:val="20"/>
        </w:rPr>
        <w:t xml:space="preserve">When it comes to procedure, there are two points in common between third party’s observation and third party’s opposition, namely, (i) no interest is required to initiate these proceedings (any </w:t>
      </w:r>
      <w:r w:rsidRPr="005B01D6">
        <w:rPr>
          <w:rFonts w:ascii="Arial" w:eastAsia="Calibri" w:hAnsi="Arial" w:cs="Arial"/>
          <w:i/>
          <w:iCs/>
          <w:sz w:val="20"/>
          <w:szCs w:val="20"/>
        </w:rPr>
        <w:t>bona fide</w:t>
      </w:r>
      <w:r w:rsidRPr="005B01D6">
        <w:rPr>
          <w:rFonts w:ascii="Arial" w:eastAsia="Calibri" w:hAnsi="Arial" w:cs="Arial"/>
          <w:sz w:val="20"/>
          <w:szCs w:val="20"/>
        </w:rPr>
        <w:t xml:space="preserve"> third party, not only the party with related rights and interests, enjoys the right to raise his opinion on the registration of an application by using one of two above-mentioned procedures, and (ii) they contains clear legal ground for the public to give their opinion on the grant of an exclusive right to an industrial property subject matter that the public must respect if they believe that the subject matter for registration is likely to conflict, or affect negatively or do not meet the criteria of protection.</w:t>
      </w:r>
    </w:p>
    <w:p w14:paraId="0FEF097B" w14:textId="77777777" w:rsidR="005B01D6" w:rsidRPr="005B01D6" w:rsidRDefault="005B01D6" w:rsidP="005B01D6">
      <w:pPr>
        <w:spacing w:after="0" w:line="240" w:lineRule="auto"/>
        <w:jc w:val="both"/>
        <w:textAlignment w:val="baseline"/>
        <w:rPr>
          <w:rFonts w:ascii="Arial" w:eastAsia="Calibri" w:hAnsi="Arial" w:cs="Arial"/>
          <w:sz w:val="20"/>
          <w:szCs w:val="20"/>
        </w:rPr>
      </w:pPr>
    </w:p>
    <w:p w14:paraId="604B6955" w14:textId="77777777" w:rsidR="005B01D6" w:rsidRPr="005B01D6" w:rsidRDefault="005B01D6" w:rsidP="005B01D6">
      <w:pPr>
        <w:spacing w:after="0" w:line="240" w:lineRule="auto"/>
        <w:jc w:val="both"/>
        <w:textAlignment w:val="baseline"/>
        <w:rPr>
          <w:rFonts w:ascii="Arial" w:eastAsia="Calibri" w:hAnsi="Arial" w:cs="Arial"/>
          <w:sz w:val="20"/>
          <w:szCs w:val="20"/>
          <w:lang w:val="vi-VN"/>
        </w:rPr>
      </w:pPr>
      <w:r w:rsidRPr="005B01D6">
        <w:rPr>
          <w:rFonts w:ascii="Arial" w:eastAsia="Calibri" w:hAnsi="Arial" w:cs="Arial"/>
          <w:sz w:val="20"/>
          <w:szCs w:val="20"/>
        </w:rPr>
        <w:t>However, the time limit for receiving and considering the third party’s opinions as prescribed in Article 112 of the 2005 IP Law is vague and excessively long. Failure to differentiate between opposition and provision of information on the application impedes in implementation of two above-mentioned procedures; the time limit for receiving the third-party opinion is too long, resulting in a protracted process of handling the application, and the third party may abuse this procedure to obstruct the grant of a protection title</w:t>
      </w:r>
      <w:r w:rsidRPr="005B01D6">
        <w:rPr>
          <w:rFonts w:ascii="Arial" w:eastAsia="Calibri" w:hAnsi="Arial" w:cs="Arial"/>
          <w:sz w:val="20"/>
          <w:szCs w:val="20"/>
          <w:lang w:val="vi-VN"/>
        </w:rPr>
        <w:t>.</w:t>
      </w:r>
    </w:p>
    <w:p w14:paraId="4814BDD1" w14:textId="77777777" w:rsidR="005B01D6" w:rsidRPr="005B01D6" w:rsidRDefault="005B01D6" w:rsidP="005B01D6">
      <w:pPr>
        <w:spacing w:after="0" w:line="240" w:lineRule="auto"/>
        <w:jc w:val="both"/>
        <w:textAlignment w:val="baseline"/>
        <w:rPr>
          <w:rFonts w:ascii="Arial" w:eastAsia="Calibri" w:hAnsi="Arial" w:cs="Arial"/>
          <w:sz w:val="20"/>
          <w:szCs w:val="20"/>
          <w:lang w:val="vi-VN"/>
        </w:rPr>
      </w:pPr>
    </w:p>
    <w:p w14:paraId="5EC2CFE5" w14:textId="77777777" w:rsidR="005B01D6" w:rsidRPr="005B01D6" w:rsidRDefault="005B01D6" w:rsidP="005B01D6">
      <w:pPr>
        <w:spacing w:after="0" w:line="240" w:lineRule="auto"/>
        <w:jc w:val="both"/>
        <w:textAlignment w:val="baseline"/>
        <w:rPr>
          <w:rFonts w:ascii="Arial" w:eastAsia="Calibri" w:hAnsi="Arial" w:cs="Arial"/>
          <w:sz w:val="20"/>
          <w:szCs w:val="20"/>
          <w:lang w:val="vi-VN"/>
        </w:rPr>
      </w:pPr>
      <w:r w:rsidRPr="005B01D6">
        <w:rPr>
          <w:rFonts w:ascii="Arial" w:eastAsia="Calibri" w:hAnsi="Arial" w:cs="Arial"/>
          <w:sz w:val="20"/>
          <w:szCs w:val="20"/>
          <w:lang w:val="vi-VN"/>
        </w:rPr>
        <w:t>To remedy this</w:t>
      </w:r>
      <w:r w:rsidRPr="005B01D6">
        <w:rPr>
          <w:rFonts w:ascii="Arial" w:eastAsia="Calibri" w:hAnsi="Arial" w:cs="Arial"/>
          <w:sz w:val="20"/>
          <w:szCs w:val="20"/>
        </w:rPr>
        <w:t xml:space="preserve"> </w:t>
      </w:r>
      <w:proofErr w:type="spellStart"/>
      <w:r w:rsidRPr="005B01D6">
        <w:rPr>
          <w:rFonts w:ascii="Arial" w:eastAsia="Calibri" w:hAnsi="Arial" w:cs="Arial"/>
          <w:color w:val="222222"/>
          <w:sz w:val="20"/>
          <w:szCs w:val="20"/>
          <w:shd w:val="clear" w:color="auto" w:fill="FFFFFF"/>
        </w:rPr>
        <w:t>situtation</w:t>
      </w:r>
      <w:proofErr w:type="spellEnd"/>
      <w:r w:rsidRPr="005B01D6">
        <w:rPr>
          <w:rFonts w:ascii="Arial" w:eastAsia="Calibri" w:hAnsi="Arial" w:cs="Arial"/>
          <w:sz w:val="20"/>
          <w:szCs w:val="20"/>
          <w:lang w:val="vi-VN"/>
        </w:rPr>
        <w:t xml:space="preserve">, the </w:t>
      </w:r>
      <w:r w:rsidRPr="005B01D6">
        <w:rPr>
          <w:rFonts w:ascii="Arial" w:eastAsia="Calibri" w:hAnsi="Arial" w:cs="Arial"/>
          <w:sz w:val="20"/>
          <w:szCs w:val="20"/>
        </w:rPr>
        <w:t xml:space="preserve">2022 </w:t>
      </w:r>
      <w:r w:rsidRPr="005B01D6">
        <w:rPr>
          <w:rFonts w:ascii="Arial" w:eastAsia="Calibri" w:hAnsi="Arial" w:cs="Arial"/>
          <w:sz w:val="20"/>
          <w:szCs w:val="20"/>
          <w:lang w:val="vi-VN"/>
        </w:rPr>
        <w:t>IP Law has established two mechanisms to effectively handle third</w:t>
      </w:r>
      <w:r w:rsidRPr="005B01D6">
        <w:rPr>
          <w:rFonts w:ascii="Arial" w:eastAsia="Calibri" w:hAnsi="Arial" w:cs="Arial"/>
          <w:sz w:val="20"/>
          <w:szCs w:val="20"/>
        </w:rPr>
        <w:t>-</w:t>
      </w:r>
      <w:r w:rsidRPr="005B01D6">
        <w:rPr>
          <w:rFonts w:ascii="Arial" w:eastAsia="Calibri" w:hAnsi="Arial" w:cs="Arial"/>
          <w:sz w:val="20"/>
          <w:szCs w:val="20"/>
          <w:lang w:val="vi-VN"/>
        </w:rPr>
        <w:t xml:space="preserve">party opinions on industrial property </w:t>
      </w:r>
      <w:r w:rsidRPr="005B01D6">
        <w:rPr>
          <w:rFonts w:ascii="Arial" w:eastAsia="Calibri" w:hAnsi="Arial" w:cs="Arial"/>
          <w:sz w:val="20"/>
          <w:szCs w:val="20"/>
        </w:rPr>
        <w:t xml:space="preserve">registration </w:t>
      </w:r>
      <w:r w:rsidRPr="005B01D6">
        <w:rPr>
          <w:rFonts w:ascii="Arial" w:eastAsia="Calibri" w:hAnsi="Arial" w:cs="Arial"/>
          <w:sz w:val="20"/>
          <w:szCs w:val="20"/>
          <w:lang w:val="vi-VN"/>
        </w:rPr>
        <w:t>applications in general and patent applications in particular.</w:t>
      </w:r>
    </w:p>
    <w:p w14:paraId="72AE5D47" w14:textId="77777777" w:rsidR="005B01D6" w:rsidRPr="005B01D6" w:rsidRDefault="005B01D6" w:rsidP="005B01D6">
      <w:pPr>
        <w:spacing w:after="0" w:line="240" w:lineRule="auto"/>
        <w:jc w:val="both"/>
        <w:textAlignment w:val="baseline"/>
        <w:rPr>
          <w:rFonts w:ascii="Arial" w:eastAsia="Calibri" w:hAnsi="Arial" w:cs="Arial"/>
          <w:sz w:val="20"/>
          <w:szCs w:val="20"/>
        </w:rPr>
      </w:pPr>
    </w:p>
    <w:tbl>
      <w:tblPr>
        <w:tblStyle w:val="TableGrid"/>
        <w:tblW w:w="0" w:type="auto"/>
        <w:tblInd w:w="108"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ayout w:type="fixed"/>
        <w:tblLook w:val="04A0" w:firstRow="1" w:lastRow="0" w:firstColumn="1" w:lastColumn="0" w:noHBand="0" w:noVBand="1"/>
      </w:tblPr>
      <w:tblGrid>
        <w:gridCol w:w="1417"/>
        <w:gridCol w:w="1800"/>
        <w:gridCol w:w="2993"/>
        <w:gridCol w:w="3429"/>
      </w:tblGrid>
      <w:tr w:rsidR="005B01D6" w:rsidRPr="005B01D6" w14:paraId="6EA59AD4" w14:textId="77777777" w:rsidTr="00287D85">
        <w:tc>
          <w:tcPr>
            <w:tcW w:w="1417" w:type="dxa"/>
            <w:shd w:val="pct20" w:color="auto" w:fill="auto"/>
          </w:tcPr>
          <w:p w14:paraId="263D6BE0" w14:textId="77777777" w:rsidR="005B01D6" w:rsidRPr="005B01D6" w:rsidRDefault="005B01D6" w:rsidP="005B01D6">
            <w:pPr>
              <w:jc w:val="center"/>
              <w:textAlignment w:val="baseline"/>
              <w:rPr>
                <w:rFonts w:ascii="Arial" w:eastAsia="Calibri" w:hAnsi="Arial" w:cs="Arial"/>
                <w:b/>
                <w:bCs/>
                <w:sz w:val="20"/>
                <w:szCs w:val="20"/>
              </w:rPr>
            </w:pPr>
            <w:r w:rsidRPr="005B01D6">
              <w:rPr>
                <w:rFonts w:ascii="Arial" w:eastAsia="Calibri" w:hAnsi="Arial" w:cs="Arial"/>
                <w:b/>
                <w:bCs/>
                <w:sz w:val="20"/>
                <w:szCs w:val="20"/>
              </w:rPr>
              <w:t>Comparison</w:t>
            </w:r>
          </w:p>
        </w:tc>
        <w:tc>
          <w:tcPr>
            <w:tcW w:w="1800" w:type="dxa"/>
            <w:shd w:val="pct20" w:color="auto" w:fill="auto"/>
          </w:tcPr>
          <w:p w14:paraId="1D602640" w14:textId="77777777" w:rsidR="005B01D6" w:rsidRPr="005B01D6" w:rsidRDefault="005B01D6" w:rsidP="005B01D6">
            <w:pPr>
              <w:jc w:val="center"/>
              <w:textAlignment w:val="baseline"/>
              <w:rPr>
                <w:rFonts w:ascii="Arial" w:eastAsia="Calibri" w:hAnsi="Arial" w:cs="Arial"/>
                <w:b/>
                <w:bCs/>
                <w:sz w:val="20"/>
                <w:szCs w:val="20"/>
              </w:rPr>
            </w:pPr>
            <w:r w:rsidRPr="005B01D6">
              <w:rPr>
                <w:rFonts w:ascii="Arial" w:eastAsia="Calibri" w:hAnsi="Arial" w:cs="Arial"/>
                <w:b/>
                <w:bCs/>
                <w:sz w:val="20"/>
                <w:szCs w:val="20"/>
              </w:rPr>
              <w:t>Criteria</w:t>
            </w:r>
          </w:p>
        </w:tc>
        <w:tc>
          <w:tcPr>
            <w:tcW w:w="2993" w:type="dxa"/>
            <w:shd w:val="pct20" w:color="auto" w:fill="auto"/>
          </w:tcPr>
          <w:p w14:paraId="0CA82FBB" w14:textId="77777777" w:rsidR="005B01D6" w:rsidRPr="005B01D6" w:rsidRDefault="005B01D6" w:rsidP="005B01D6">
            <w:pPr>
              <w:jc w:val="center"/>
              <w:textAlignment w:val="baseline"/>
              <w:rPr>
                <w:rFonts w:ascii="Arial" w:eastAsia="Calibri" w:hAnsi="Arial" w:cs="Arial"/>
                <w:b/>
                <w:bCs/>
                <w:sz w:val="20"/>
                <w:szCs w:val="20"/>
              </w:rPr>
            </w:pPr>
            <w:r w:rsidRPr="005B01D6">
              <w:rPr>
                <w:rFonts w:ascii="Arial" w:eastAsia="Calibri" w:hAnsi="Arial" w:cs="Arial"/>
                <w:b/>
                <w:bCs/>
                <w:sz w:val="20"/>
                <w:szCs w:val="20"/>
              </w:rPr>
              <w:t>Third party’s observation</w:t>
            </w:r>
          </w:p>
          <w:p w14:paraId="2B3BE18A" w14:textId="77777777" w:rsidR="005B01D6" w:rsidRPr="005B01D6" w:rsidRDefault="005B01D6" w:rsidP="005B01D6">
            <w:pPr>
              <w:jc w:val="center"/>
              <w:textAlignment w:val="baseline"/>
              <w:rPr>
                <w:rFonts w:ascii="Arial" w:eastAsia="Calibri" w:hAnsi="Arial" w:cs="Arial"/>
                <w:b/>
                <w:bCs/>
                <w:sz w:val="20"/>
                <w:szCs w:val="20"/>
              </w:rPr>
            </w:pPr>
            <w:r w:rsidRPr="005B01D6">
              <w:rPr>
                <w:rFonts w:ascii="Arial" w:eastAsia="Calibri" w:hAnsi="Arial" w:cs="Arial"/>
                <w:b/>
                <w:bCs/>
                <w:sz w:val="20"/>
                <w:szCs w:val="20"/>
              </w:rPr>
              <w:t>(Article 112)</w:t>
            </w:r>
          </w:p>
        </w:tc>
        <w:tc>
          <w:tcPr>
            <w:tcW w:w="3429" w:type="dxa"/>
            <w:shd w:val="pct20" w:color="auto" w:fill="auto"/>
          </w:tcPr>
          <w:p w14:paraId="33484559" w14:textId="77777777" w:rsidR="005B01D6" w:rsidRPr="005B01D6" w:rsidRDefault="005B01D6" w:rsidP="005B01D6">
            <w:pPr>
              <w:jc w:val="center"/>
              <w:textAlignment w:val="baseline"/>
              <w:rPr>
                <w:rFonts w:ascii="Arial" w:eastAsia="Calibri" w:hAnsi="Arial" w:cs="Arial"/>
                <w:b/>
                <w:bCs/>
                <w:sz w:val="20"/>
                <w:szCs w:val="20"/>
              </w:rPr>
            </w:pPr>
            <w:r w:rsidRPr="005B01D6">
              <w:rPr>
                <w:rFonts w:ascii="Arial" w:eastAsia="Calibri" w:hAnsi="Arial" w:cs="Arial"/>
                <w:b/>
                <w:bCs/>
                <w:sz w:val="20"/>
                <w:szCs w:val="20"/>
              </w:rPr>
              <w:t>Third party’s opposition</w:t>
            </w:r>
          </w:p>
          <w:p w14:paraId="7699357B" w14:textId="77777777" w:rsidR="005B01D6" w:rsidRPr="005B01D6" w:rsidRDefault="005B01D6" w:rsidP="005B01D6">
            <w:pPr>
              <w:jc w:val="center"/>
              <w:textAlignment w:val="baseline"/>
              <w:rPr>
                <w:rFonts w:ascii="Arial" w:eastAsia="Calibri" w:hAnsi="Arial" w:cs="Arial"/>
                <w:b/>
                <w:bCs/>
                <w:sz w:val="20"/>
                <w:szCs w:val="20"/>
              </w:rPr>
            </w:pPr>
            <w:r w:rsidRPr="005B01D6">
              <w:rPr>
                <w:rFonts w:ascii="Arial" w:eastAsia="Calibri" w:hAnsi="Arial" w:cs="Arial"/>
                <w:b/>
                <w:bCs/>
                <w:sz w:val="20"/>
                <w:szCs w:val="20"/>
              </w:rPr>
              <w:t>(Article 112a)</w:t>
            </w:r>
          </w:p>
        </w:tc>
      </w:tr>
      <w:tr w:rsidR="005B01D6" w:rsidRPr="005B01D6" w14:paraId="34415DBA" w14:textId="77777777" w:rsidTr="00287D85">
        <w:tc>
          <w:tcPr>
            <w:tcW w:w="1417" w:type="dxa"/>
          </w:tcPr>
          <w:p w14:paraId="6231AD7A" w14:textId="77777777" w:rsidR="005B01D6" w:rsidRPr="005B01D6" w:rsidRDefault="005B01D6" w:rsidP="005B01D6">
            <w:pPr>
              <w:jc w:val="both"/>
              <w:textAlignment w:val="baseline"/>
              <w:rPr>
                <w:rFonts w:ascii="Arial" w:eastAsia="Calibri" w:hAnsi="Arial" w:cs="Arial"/>
                <w:sz w:val="20"/>
                <w:szCs w:val="20"/>
              </w:rPr>
            </w:pPr>
            <w:r w:rsidRPr="005B01D6">
              <w:rPr>
                <w:rFonts w:ascii="Arial" w:eastAsia="Calibri" w:hAnsi="Arial" w:cs="Arial"/>
                <w:sz w:val="20"/>
                <w:szCs w:val="20"/>
              </w:rPr>
              <w:t xml:space="preserve">Similarity </w:t>
            </w:r>
          </w:p>
        </w:tc>
        <w:tc>
          <w:tcPr>
            <w:tcW w:w="8222" w:type="dxa"/>
            <w:gridSpan w:val="3"/>
          </w:tcPr>
          <w:p w14:paraId="26D901E8" w14:textId="77777777" w:rsidR="005B01D6" w:rsidRPr="005B01D6" w:rsidRDefault="005B01D6" w:rsidP="005B01D6">
            <w:pPr>
              <w:numPr>
                <w:ilvl w:val="0"/>
                <w:numId w:val="16"/>
              </w:numPr>
              <w:ind w:left="436"/>
              <w:contextualSpacing/>
              <w:jc w:val="both"/>
              <w:textAlignment w:val="baseline"/>
              <w:rPr>
                <w:rFonts w:ascii="Arial" w:eastAsia="Calibri" w:hAnsi="Arial" w:cs="Arial"/>
                <w:sz w:val="20"/>
                <w:szCs w:val="20"/>
              </w:rPr>
            </w:pPr>
            <w:r w:rsidRPr="005B01D6">
              <w:rPr>
                <w:rFonts w:ascii="Arial" w:eastAsia="Calibri" w:hAnsi="Arial" w:cs="Arial"/>
                <w:sz w:val="20"/>
                <w:szCs w:val="20"/>
              </w:rPr>
              <w:t>Before the date of issuance of the decision on granting a protection title, any third party has the right to give an opinion against or to oppose the grant of a protection title.</w:t>
            </w:r>
          </w:p>
          <w:p w14:paraId="6E2AD9ED" w14:textId="77777777" w:rsidR="005B01D6" w:rsidRPr="005B01D6" w:rsidRDefault="005B01D6" w:rsidP="005B01D6">
            <w:pPr>
              <w:numPr>
                <w:ilvl w:val="0"/>
                <w:numId w:val="16"/>
              </w:numPr>
              <w:ind w:left="436"/>
              <w:contextualSpacing/>
              <w:jc w:val="both"/>
              <w:textAlignment w:val="baseline"/>
              <w:rPr>
                <w:rFonts w:ascii="Arial" w:eastAsia="Calibri" w:hAnsi="Arial" w:cs="Arial"/>
                <w:sz w:val="20"/>
                <w:szCs w:val="20"/>
              </w:rPr>
            </w:pPr>
            <w:r w:rsidRPr="005B01D6">
              <w:rPr>
                <w:rFonts w:ascii="Arial" w:eastAsia="Calibri" w:hAnsi="Arial" w:cs="Arial"/>
                <w:sz w:val="20"/>
                <w:szCs w:val="20"/>
              </w:rPr>
              <w:t>No interest is required for the filing of a third-party opinion or opposition.</w:t>
            </w:r>
          </w:p>
          <w:p w14:paraId="7CF73F39" w14:textId="77777777" w:rsidR="005B01D6" w:rsidRPr="005B01D6" w:rsidRDefault="005B01D6" w:rsidP="005B01D6">
            <w:pPr>
              <w:numPr>
                <w:ilvl w:val="0"/>
                <w:numId w:val="16"/>
              </w:numPr>
              <w:ind w:left="436"/>
              <w:contextualSpacing/>
              <w:jc w:val="both"/>
              <w:textAlignment w:val="baseline"/>
              <w:rPr>
                <w:rFonts w:ascii="Arial" w:eastAsia="Calibri" w:hAnsi="Arial" w:cs="Arial"/>
                <w:sz w:val="20"/>
                <w:szCs w:val="20"/>
              </w:rPr>
            </w:pPr>
            <w:r w:rsidRPr="005B01D6">
              <w:rPr>
                <w:rFonts w:ascii="Arial" w:eastAsia="Calibri" w:hAnsi="Arial" w:cs="Arial"/>
                <w:sz w:val="20"/>
                <w:szCs w:val="20"/>
              </w:rPr>
              <w:t>Opinions/Oppositions must be submitted in writing, stating the legal grounds, analysis, and arguments.</w:t>
            </w:r>
          </w:p>
        </w:tc>
      </w:tr>
      <w:tr w:rsidR="005B01D6" w:rsidRPr="005B01D6" w14:paraId="3F93F149" w14:textId="77777777" w:rsidTr="00287D85">
        <w:tc>
          <w:tcPr>
            <w:tcW w:w="1417" w:type="dxa"/>
            <w:vMerge w:val="restart"/>
          </w:tcPr>
          <w:p w14:paraId="4AB57153" w14:textId="77777777" w:rsidR="005B01D6" w:rsidRPr="005B01D6" w:rsidRDefault="005B01D6" w:rsidP="005B01D6">
            <w:pPr>
              <w:jc w:val="both"/>
              <w:textAlignment w:val="baseline"/>
              <w:rPr>
                <w:rFonts w:ascii="Arial" w:eastAsia="Calibri" w:hAnsi="Arial" w:cs="Arial"/>
                <w:sz w:val="20"/>
                <w:szCs w:val="20"/>
              </w:rPr>
            </w:pPr>
          </w:p>
          <w:p w14:paraId="2DC9654E" w14:textId="77777777" w:rsidR="005B01D6" w:rsidRPr="005B01D6" w:rsidRDefault="005B01D6" w:rsidP="005B01D6">
            <w:pPr>
              <w:jc w:val="both"/>
              <w:textAlignment w:val="baseline"/>
              <w:rPr>
                <w:rFonts w:ascii="Arial" w:eastAsia="Calibri" w:hAnsi="Arial" w:cs="Arial"/>
                <w:sz w:val="20"/>
                <w:szCs w:val="20"/>
              </w:rPr>
            </w:pPr>
          </w:p>
          <w:p w14:paraId="2240273F" w14:textId="77777777" w:rsidR="005B01D6" w:rsidRPr="005B01D6" w:rsidRDefault="005B01D6" w:rsidP="005B01D6">
            <w:pPr>
              <w:jc w:val="both"/>
              <w:textAlignment w:val="baseline"/>
              <w:rPr>
                <w:rFonts w:ascii="Arial" w:eastAsia="Calibri" w:hAnsi="Arial" w:cs="Arial"/>
                <w:sz w:val="20"/>
                <w:szCs w:val="20"/>
              </w:rPr>
            </w:pPr>
            <w:r w:rsidRPr="005B01D6">
              <w:rPr>
                <w:rFonts w:ascii="Arial" w:eastAsia="Calibri" w:hAnsi="Arial" w:cs="Arial"/>
                <w:sz w:val="20"/>
                <w:szCs w:val="20"/>
              </w:rPr>
              <w:lastRenderedPageBreak/>
              <w:t xml:space="preserve">Difference </w:t>
            </w:r>
          </w:p>
        </w:tc>
        <w:tc>
          <w:tcPr>
            <w:tcW w:w="1800" w:type="dxa"/>
          </w:tcPr>
          <w:p w14:paraId="122E616C" w14:textId="77777777" w:rsidR="005B01D6" w:rsidRPr="005B01D6" w:rsidRDefault="005B01D6" w:rsidP="005B01D6">
            <w:pPr>
              <w:jc w:val="both"/>
              <w:textAlignment w:val="baseline"/>
              <w:rPr>
                <w:rFonts w:ascii="Arial" w:eastAsia="Calibri" w:hAnsi="Arial" w:cs="Arial"/>
                <w:sz w:val="20"/>
                <w:szCs w:val="20"/>
              </w:rPr>
            </w:pPr>
            <w:r w:rsidRPr="005B01D6">
              <w:rPr>
                <w:rFonts w:ascii="Arial" w:eastAsia="Calibri" w:hAnsi="Arial" w:cs="Arial"/>
                <w:sz w:val="20"/>
                <w:szCs w:val="20"/>
              </w:rPr>
              <w:lastRenderedPageBreak/>
              <w:t>Fee</w:t>
            </w:r>
          </w:p>
        </w:tc>
        <w:tc>
          <w:tcPr>
            <w:tcW w:w="2993" w:type="dxa"/>
          </w:tcPr>
          <w:p w14:paraId="185C354B" w14:textId="77777777" w:rsidR="005B01D6" w:rsidRPr="005B01D6" w:rsidRDefault="005B01D6" w:rsidP="005B01D6">
            <w:pPr>
              <w:jc w:val="both"/>
              <w:textAlignment w:val="baseline"/>
              <w:rPr>
                <w:rFonts w:ascii="Arial" w:eastAsia="Calibri" w:hAnsi="Arial" w:cs="Arial"/>
                <w:sz w:val="20"/>
                <w:szCs w:val="20"/>
              </w:rPr>
            </w:pPr>
            <w:r w:rsidRPr="005B01D6">
              <w:rPr>
                <w:rFonts w:ascii="Arial" w:eastAsia="Calibri" w:hAnsi="Arial" w:cs="Arial"/>
                <w:sz w:val="20"/>
                <w:szCs w:val="20"/>
              </w:rPr>
              <w:t xml:space="preserve">Free of charge </w:t>
            </w:r>
          </w:p>
        </w:tc>
        <w:tc>
          <w:tcPr>
            <w:tcW w:w="3429" w:type="dxa"/>
          </w:tcPr>
          <w:p w14:paraId="2475358C" w14:textId="77777777" w:rsidR="005B01D6" w:rsidRPr="005B01D6" w:rsidRDefault="005B01D6" w:rsidP="005B01D6">
            <w:pPr>
              <w:jc w:val="both"/>
              <w:textAlignment w:val="baseline"/>
              <w:rPr>
                <w:rFonts w:ascii="Arial" w:eastAsia="Calibri" w:hAnsi="Arial" w:cs="Arial"/>
                <w:sz w:val="20"/>
                <w:szCs w:val="20"/>
              </w:rPr>
            </w:pPr>
            <w:r w:rsidRPr="005B01D6">
              <w:rPr>
                <w:rFonts w:ascii="Arial" w:eastAsia="Calibri" w:hAnsi="Arial" w:cs="Arial"/>
                <w:sz w:val="20"/>
                <w:szCs w:val="20"/>
              </w:rPr>
              <w:t xml:space="preserve">Subject to prescribed fees </w:t>
            </w:r>
          </w:p>
        </w:tc>
      </w:tr>
      <w:tr w:rsidR="005B01D6" w:rsidRPr="005B01D6" w14:paraId="39EA7B31" w14:textId="77777777" w:rsidTr="00287D85">
        <w:tc>
          <w:tcPr>
            <w:tcW w:w="1417" w:type="dxa"/>
            <w:vMerge/>
          </w:tcPr>
          <w:p w14:paraId="299C448E" w14:textId="77777777" w:rsidR="005B01D6" w:rsidRPr="005B01D6" w:rsidRDefault="005B01D6" w:rsidP="005B01D6">
            <w:pPr>
              <w:jc w:val="both"/>
              <w:textAlignment w:val="baseline"/>
              <w:rPr>
                <w:rFonts w:ascii="Arial" w:eastAsia="Calibri" w:hAnsi="Arial" w:cs="Arial"/>
                <w:sz w:val="20"/>
                <w:szCs w:val="20"/>
              </w:rPr>
            </w:pPr>
          </w:p>
        </w:tc>
        <w:tc>
          <w:tcPr>
            <w:tcW w:w="1800" w:type="dxa"/>
          </w:tcPr>
          <w:p w14:paraId="6AFEB68D" w14:textId="77777777" w:rsidR="005B01D6" w:rsidRPr="005B01D6" w:rsidRDefault="005B01D6" w:rsidP="005B01D6">
            <w:pPr>
              <w:jc w:val="both"/>
              <w:textAlignment w:val="baseline"/>
              <w:rPr>
                <w:rFonts w:ascii="Arial" w:eastAsia="Calibri" w:hAnsi="Arial" w:cs="Arial"/>
                <w:sz w:val="20"/>
                <w:szCs w:val="20"/>
              </w:rPr>
            </w:pPr>
            <w:r w:rsidRPr="005B01D6">
              <w:rPr>
                <w:rFonts w:ascii="Arial" w:eastAsia="Calibri" w:hAnsi="Arial" w:cs="Arial"/>
                <w:sz w:val="20"/>
                <w:szCs w:val="20"/>
              </w:rPr>
              <w:t>Term</w:t>
            </w:r>
          </w:p>
        </w:tc>
        <w:tc>
          <w:tcPr>
            <w:tcW w:w="2993" w:type="dxa"/>
          </w:tcPr>
          <w:p w14:paraId="48AE3D8D" w14:textId="77777777" w:rsidR="005B01D6" w:rsidRPr="005B01D6" w:rsidRDefault="005B01D6" w:rsidP="005B01D6">
            <w:pPr>
              <w:jc w:val="both"/>
              <w:textAlignment w:val="baseline"/>
              <w:rPr>
                <w:rFonts w:ascii="Arial" w:eastAsia="Calibri" w:hAnsi="Arial" w:cs="Arial"/>
                <w:sz w:val="20"/>
                <w:szCs w:val="20"/>
              </w:rPr>
            </w:pPr>
            <w:r w:rsidRPr="005B01D6">
              <w:rPr>
                <w:rFonts w:ascii="Arial" w:eastAsia="Calibri" w:hAnsi="Arial" w:cs="Arial"/>
                <w:sz w:val="20"/>
                <w:szCs w:val="20"/>
              </w:rPr>
              <w:t xml:space="preserve">Third party’s observation may </w:t>
            </w:r>
            <w:r w:rsidRPr="005B01D6">
              <w:rPr>
                <w:rFonts w:ascii="Arial" w:eastAsia="Calibri" w:hAnsi="Arial" w:cs="Arial"/>
                <w:sz w:val="20"/>
                <w:szCs w:val="20"/>
              </w:rPr>
              <w:lastRenderedPageBreak/>
              <w:t xml:space="preserve">be filed during the patent examination period, provided that such opinions are submitted before IP VIETNAM issues a decision to grant a protection title. </w:t>
            </w:r>
          </w:p>
        </w:tc>
        <w:tc>
          <w:tcPr>
            <w:tcW w:w="3429" w:type="dxa"/>
          </w:tcPr>
          <w:p w14:paraId="5F7C2D80" w14:textId="178E3925" w:rsidR="005B01D6" w:rsidRPr="005B01D6" w:rsidRDefault="005B01D6" w:rsidP="005B01D6">
            <w:pPr>
              <w:jc w:val="both"/>
              <w:textAlignment w:val="baseline"/>
              <w:rPr>
                <w:rFonts w:ascii="Arial" w:eastAsia="Calibri" w:hAnsi="Arial" w:cs="Arial"/>
                <w:sz w:val="20"/>
                <w:szCs w:val="20"/>
              </w:rPr>
            </w:pPr>
            <w:r w:rsidRPr="005B01D6">
              <w:rPr>
                <w:rFonts w:ascii="Arial" w:eastAsia="Calibri" w:hAnsi="Arial" w:cs="Arial"/>
                <w:sz w:val="20"/>
                <w:szCs w:val="20"/>
              </w:rPr>
              <w:lastRenderedPageBreak/>
              <w:t xml:space="preserve">Opposition must be filed within 9 </w:t>
            </w:r>
            <w:r w:rsidR="001D7359" w:rsidRPr="00A451ED">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BF8AFAB" wp14:editId="0CD4152A">
                      <wp:simplePos x="0" y="0"/>
                      <wp:positionH relativeFrom="column">
                        <wp:posOffset>2326005</wp:posOffset>
                      </wp:positionH>
                      <wp:positionV relativeFrom="paragraph">
                        <wp:posOffset>-602615</wp:posOffset>
                      </wp:positionV>
                      <wp:extent cx="323850" cy="10572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9117AD" w14:textId="77777777" w:rsidR="001D7359" w:rsidRDefault="001D7359" w:rsidP="001D7359">
                                  <w:pPr>
                                    <w:spacing w:after="0" w:line="240" w:lineRule="auto"/>
                                    <w:jc w:val="center"/>
                                    <w:rPr>
                                      <w:rFonts w:ascii="Arial" w:hAnsi="Arial" w:cs="Arial"/>
                                      <w:color w:val="FFFFFF" w:themeColor="background1"/>
                                    </w:rPr>
                                  </w:pPr>
                                </w:p>
                                <w:p w14:paraId="534620B6" w14:textId="77777777" w:rsidR="001D7359" w:rsidRPr="00454E68" w:rsidRDefault="001D7359" w:rsidP="001D7359">
                                  <w:pPr>
                                    <w:spacing w:after="0" w:line="240" w:lineRule="auto"/>
                                    <w:jc w:val="center"/>
                                    <w:rPr>
                                      <w:rFonts w:ascii="Arial" w:hAnsi="Arial" w:cs="Arial"/>
                                      <w:color w:val="FFFFFF" w:themeColor="background1"/>
                                      <w:sz w:val="18"/>
                                      <w:szCs w:val="18"/>
                                    </w:rPr>
                                  </w:pPr>
                                </w:p>
                                <w:p w14:paraId="4461D04A" w14:textId="77777777" w:rsidR="001D7359" w:rsidRPr="001D7359" w:rsidRDefault="001D7359" w:rsidP="001D7359">
                                  <w:pPr>
                                    <w:spacing w:after="0" w:line="240" w:lineRule="auto"/>
                                    <w:rPr>
                                      <w:rFonts w:ascii="Arial" w:hAnsi="Arial" w:cs="Arial"/>
                                      <w:b/>
                                      <w:color w:val="FFFFFF" w:themeColor="background1"/>
                                      <w:sz w:val="20"/>
                                      <w:szCs w:val="20"/>
                                    </w:rPr>
                                  </w:pPr>
                                  <w:r w:rsidRPr="00454E68">
                                    <w:rPr>
                                      <w:rFonts w:ascii="Arial" w:hAnsi="Arial" w:cs="Arial"/>
                                      <w:color w:val="FFFFFF" w:themeColor="background1"/>
                                      <w:sz w:val="18"/>
                                      <w:szCs w:val="18"/>
                                    </w:rPr>
                                    <w:t xml:space="preserve">            </w:t>
                                  </w:r>
                                  <w:r w:rsidRPr="001D7359">
                                    <w:rPr>
                                      <w:rFonts w:ascii="Arial" w:hAnsi="Arial" w:cs="Arial"/>
                                      <w:b/>
                                      <w:color w:val="FFFFFF" w:themeColor="background1"/>
                                      <w:sz w:val="20"/>
                                      <w:szCs w:val="20"/>
                                    </w:rPr>
                                    <w:t>Patent in Vietnam</w:t>
                                  </w:r>
                                </w:p>
                                <w:p w14:paraId="77808F7B" w14:textId="77777777" w:rsidR="001D7359" w:rsidRDefault="001D7359" w:rsidP="001D7359">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183.15pt;margin-top:-47.45pt;width:25.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" fillcolor="#00b39c" strokecolor="#00b39c" strokeweight="1pt">
                      <v:textbox style="layout-flow:vertical">
                        <w:txbxContent>
                          <w:p w14:paraId="429117AD" w14:textId="77777777" w:rsidR="001D7359" w:rsidRDefault="001D7359" w:rsidP="001D7359">
                            <w:pPr>
                              <w:spacing w:after="0" w:line="240" w:lineRule="auto"/>
                              <w:jc w:val="center"/>
                              <w:rPr>
                                <w:rFonts w:ascii="Arial" w:hAnsi="Arial" w:cs="Arial"/>
                                <w:color w:val="FFFFFF" w:themeColor="background1"/>
                              </w:rPr>
                            </w:pPr>
                          </w:p>
                          <w:p w14:paraId="534620B6" w14:textId="77777777" w:rsidR="001D7359" w:rsidRPr="00454E68" w:rsidRDefault="001D7359" w:rsidP="001D7359">
                            <w:pPr>
                              <w:spacing w:after="0" w:line="240" w:lineRule="auto"/>
                              <w:jc w:val="center"/>
                              <w:rPr>
                                <w:rFonts w:ascii="Arial" w:hAnsi="Arial" w:cs="Arial"/>
                                <w:color w:val="FFFFFF" w:themeColor="background1"/>
                                <w:sz w:val="18"/>
                                <w:szCs w:val="18"/>
                              </w:rPr>
                            </w:pPr>
                          </w:p>
                          <w:p w14:paraId="4461D04A" w14:textId="77777777" w:rsidR="001D7359" w:rsidRPr="001D7359" w:rsidRDefault="001D7359" w:rsidP="001D7359">
                            <w:pPr>
                              <w:spacing w:after="0" w:line="240" w:lineRule="auto"/>
                              <w:rPr>
                                <w:rFonts w:ascii="Arial" w:hAnsi="Arial" w:cs="Arial"/>
                                <w:b/>
                                <w:color w:val="FFFFFF" w:themeColor="background1"/>
                                <w:sz w:val="20"/>
                                <w:szCs w:val="20"/>
                              </w:rPr>
                            </w:pPr>
                            <w:r w:rsidRPr="00454E68">
                              <w:rPr>
                                <w:rFonts w:ascii="Arial" w:hAnsi="Arial" w:cs="Arial"/>
                                <w:color w:val="FFFFFF" w:themeColor="background1"/>
                                <w:sz w:val="18"/>
                                <w:szCs w:val="18"/>
                              </w:rPr>
                              <w:t xml:space="preserve">            </w:t>
                            </w:r>
                            <w:r w:rsidRPr="001D7359">
                              <w:rPr>
                                <w:rFonts w:ascii="Arial" w:hAnsi="Arial" w:cs="Arial"/>
                                <w:b/>
                                <w:color w:val="FFFFFF" w:themeColor="background1"/>
                                <w:sz w:val="20"/>
                                <w:szCs w:val="20"/>
                              </w:rPr>
                              <w:t>Patent in Vietnam</w:t>
                            </w:r>
                          </w:p>
                          <w:p w14:paraId="77808F7B" w14:textId="77777777" w:rsidR="001D7359" w:rsidRDefault="001D7359" w:rsidP="001D7359">
                            <w:pPr>
                              <w:jc w:val="center"/>
                            </w:pPr>
                          </w:p>
                        </w:txbxContent>
                      </v:textbox>
                    </v:rect>
                  </w:pict>
                </mc:Fallback>
              </mc:AlternateContent>
            </w:r>
            <w:r w:rsidRPr="005B01D6">
              <w:rPr>
                <w:rFonts w:ascii="Arial" w:eastAsia="Calibri" w:hAnsi="Arial" w:cs="Arial"/>
                <w:sz w:val="20"/>
                <w:szCs w:val="20"/>
              </w:rPr>
              <w:t xml:space="preserve">months from the publication date of the patent application and before the issuing date a decision on the grant of a protection title. </w:t>
            </w:r>
          </w:p>
        </w:tc>
      </w:tr>
      <w:tr w:rsidR="005B01D6" w:rsidRPr="005B01D6" w14:paraId="6CC62144" w14:textId="77777777" w:rsidTr="00287D85">
        <w:tc>
          <w:tcPr>
            <w:tcW w:w="1417" w:type="dxa"/>
            <w:vMerge/>
          </w:tcPr>
          <w:p w14:paraId="7384CBA8" w14:textId="77777777" w:rsidR="005B01D6" w:rsidRPr="005B01D6" w:rsidRDefault="005B01D6" w:rsidP="005B01D6">
            <w:pPr>
              <w:jc w:val="both"/>
              <w:textAlignment w:val="baseline"/>
              <w:rPr>
                <w:rFonts w:ascii="Arial" w:eastAsia="Calibri" w:hAnsi="Arial" w:cs="Arial"/>
                <w:sz w:val="20"/>
                <w:szCs w:val="20"/>
              </w:rPr>
            </w:pPr>
          </w:p>
        </w:tc>
        <w:tc>
          <w:tcPr>
            <w:tcW w:w="1800" w:type="dxa"/>
          </w:tcPr>
          <w:p w14:paraId="4885E976" w14:textId="77777777" w:rsidR="005B01D6" w:rsidRPr="005B01D6" w:rsidRDefault="005B01D6" w:rsidP="005B01D6">
            <w:pPr>
              <w:jc w:val="both"/>
              <w:textAlignment w:val="baseline"/>
              <w:rPr>
                <w:rFonts w:ascii="Arial" w:eastAsia="Calibri" w:hAnsi="Arial" w:cs="Arial"/>
                <w:sz w:val="20"/>
                <w:szCs w:val="20"/>
              </w:rPr>
            </w:pPr>
            <w:r w:rsidRPr="005B01D6">
              <w:rPr>
                <w:rFonts w:ascii="Arial" w:eastAsia="Calibri" w:hAnsi="Arial" w:cs="Arial"/>
                <w:sz w:val="20"/>
                <w:szCs w:val="20"/>
              </w:rPr>
              <w:t>Procedure</w:t>
            </w:r>
          </w:p>
        </w:tc>
        <w:tc>
          <w:tcPr>
            <w:tcW w:w="2993" w:type="dxa"/>
          </w:tcPr>
          <w:p w14:paraId="545A3041" w14:textId="77777777" w:rsidR="005B01D6" w:rsidRPr="005B01D6" w:rsidRDefault="005B01D6" w:rsidP="005B01D6">
            <w:pPr>
              <w:jc w:val="both"/>
              <w:textAlignment w:val="baseline"/>
              <w:rPr>
                <w:rFonts w:ascii="Arial" w:eastAsia="Calibri" w:hAnsi="Arial" w:cs="Arial"/>
                <w:sz w:val="20"/>
                <w:szCs w:val="20"/>
              </w:rPr>
            </w:pPr>
            <w:r w:rsidRPr="005B01D6">
              <w:rPr>
                <w:rFonts w:ascii="Arial" w:eastAsia="Calibri" w:hAnsi="Arial" w:cs="Arial"/>
                <w:sz w:val="20"/>
                <w:szCs w:val="20"/>
              </w:rPr>
              <w:t>IP VIETNAM only receives the third-party observation, but may not respond or initiate its own procedures to deal with such third-party observation.</w:t>
            </w:r>
          </w:p>
        </w:tc>
        <w:tc>
          <w:tcPr>
            <w:tcW w:w="3429" w:type="dxa"/>
          </w:tcPr>
          <w:p w14:paraId="22FA0608" w14:textId="77777777" w:rsidR="005B01D6" w:rsidRPr="005B01D6" w:rsidRDefault="005B01D6" w:rsidP="005B01D6">
            <w:pPr>
              <w:jc w:val="both"/>
              <w:textAlignment w:val="baseline"/>
              <w:rPr>
                <w:rFonts w:ascii="Arial" w:eastAsia="Calibri" w:hAnsi="Arial" w:cs="Arial"/>
                <w:sz w:val="20"/>
                <w:szCs w:val="20"/>
              </w:rPr>
            </w:pPr>
            <w:r w:rsidRPr="005B01D6">
              <w:rPr>
                <w:rFonts w:ascii="Arial" w:eastAsia="Calibri" w:hAnsi="Arial" w:cs="Arial"/>
                <w:sz w:val="20"/>
                <w:szCs w:val="20"/>
              </w:rPr>
              <w:t>IP VIETNAM receives oppositions, issues opposition numbers, and initiates a specific procedure for addressing the third party’s opposition as an independent procedure (</w:t>
            </w:r>
            <w:r w:rsidRPr="005B01D6">
              <w:rPr>
                <w:rFonts w:ascii="Arial" w:eastAsia="Calibri" w:hAnsi="Arial" w:cs="Arial"/>
                <w:i/>
                <w:sz w:val="20"/>
                <w:szCs w:val="20"/>
              </w:rPr>
              <w:t>similar to the procedure for invalidation, cancellation or appeal</w:t>
            </w:r>
            <w:r w:rsidRPr="005B01D6">
              <w:rPr>
                <w:rFonts w:ascii="Arial" w:eastAsia="Calibri" w:hAnsi="Arial" w:cs="Arial"/>
                <w:sz w:val="20"/>
                <w:szCs w:val="20"/>
              </w:rPr>
              <w:t xml:space="preserve">). </w:t>
            </w:r>
          </w:p>
        </w:tc>
      </w:tr>
      <w:tr w:rsidR="005B01D6" w:rsidRPr="005B01D6" w14:paraId="6905BFA3" w14:textId="77777777" w:rsidTr="00287D85">
        <w:tc>
          <w:tcPr>
            <w:tcW w:w="1417" w:type="dxa"/>
            <w:vMerge/>
          </w:tcPr>
          <w:p w14:paraId="07F72F08" w14:textId="77777777" w:rsidR="005B01D6" w:rsidRPr="005B01D6" w:rsidRDefault="005B01D6" w:rsidP="005B01D6">
            <w:pPr>
              <w:jc w:val="both"/>
              <w:textAlignment w:val="baseline"/>
              <w:rPr>
                <w:rFonts w:ascii="Arial" w:eastAsia="Calibri" w:hAnsi="Arial" w:cs="Arial"/>
                <w:sz w:val="20"/>
                <w:szCs w:val="20"/>
              </w:rPr>
            </w:pPr>
          </w:p>
        </w:tc>
        <w:tc>
          <w:tcPr>
            <w:tcW w:w="1800" w:type="dxa"/>
          </w:tcPr>
          <w:p w14:paraId="30D40D04" w14:textId="77777777" w:rsidR="005B01D6" w:rsidRPr="005B01D6" w:rsidRDefault="005B01D6" w:rsidP="005B01D6">
            <w:pPr>
              <w:jc w:val="both"/>
              <w:textAlignment w:val="baseline"/>
              <w:rPr>
                <w:rFonts w:ascii="Arial" w:eastAsia="Calibri" w:hAnsi="Arial" w:cs="Arial"/>
                <w:sz w:val="20"/>
                <w:szCs w:val="20"/>
              </w:rPr>
            </w:pPr>
            <w:r w:rsidRPr="005B01D6">
              <w:rPr>
                <w:rFonts w:ascii="Arial" w:eastAsia="Calibri" w:hAnsi="Arial" w:cs="Arial"/>
                <w:sz w:val="20"/>
                <w:szCs w:val="20"/>
              </w:rPr>
              <w:t>Feature</w:t>
            </w:r>
          </w:p>
        </w:tc>
        <w:tc>
          <w:tcPr>
            <w:tcW w:w="2993" w:type="dxa"/>
          </w:tcPr>
          <w:p w14:paraId="52041464" w14:textId="77777777" w:rsidR="005B01D6" w:rsidRPr="005B01D6" w:rsidRDefault="005B01D6" w:rsidP="005B01D6">
            <w:pPr>
              <w:jc w:val="both"/>
              <w:textAlignment w:val="baseline"/>
              <w:rPr>
                <w:rFonts w:ascii="Arial" w:eastAsia="Calibri" w:hAnsi="Arial" w:cs="Arial"/>
                <w:sz w:val="20"/>
                <w:szCs w:val="20"/>
              </w:rPr>
            </w:pPr>
            <w:r w:rsidRPr="005B01D6">
              <w:rPr>
                <w:rFonts w:ascii="Arial" w:eastAsia="Calibri" w:hAnsi="Arial" w:cs="Arial"/>
                <w:sz w:val="20"/>
                <w:szCs w:val="20"/>
              </w:rPr>
              <w:t>Being only a reference source of information in prosecution of industrial property registration applications (</w:t>
            </w:r>
            <w:r w:rsidRPr="005B01D6">
              <w:rPr>
                <w:rFonts w:ascii="Arial" w:eastAsia="Calibri" w:hAnsi="Arial" w:cs="Arial"/>
                <w:i/>
                <w:iCs/>
                <w:sz w:val="20"/>
                <w:szCs w:val="20"/>
              </w:rPr>
              <w:t>being</w:t>
            </w:r>
            <w:r w:rsidRPr="005B01D6">
              <w:rPr>
                <w:rFonts w:ascii="Arial" w:eastAsia="Calibri" w:hAnsi="Arial" w:cs="Arial"/>
                <w:sz w:val="20"/>
                <w:szCs w:val="20"/>
              </w:rPr>
              <w:t xml:space="preserve"> </w:t>
            </w:r>
            <w:r w:rsidRPr="005B01D6">
              <w:rPr>
                <w:rFonts w:ascii="Arial" w:eastAsia="Calibri" w:hAnsi="Arial" w:cs="Arial"/>
                <w:i/>
                <w:sz w:val="20"/>
                <w:szCs w:val="20"/>
              </w:rPr>
              <w:t>only opinions serving as reference information</w:t>
            </w:r>
            <w:r w:rsidRPr="005B01D6">
              <w:rPr>
                <w:rFonts w:ascii="Arial" w:eastAsia="Calibri" w:hAnsi="Arial" w:cs="Arial"/>
                <w:sz w:val="20"/>
                <w:szCs w:val="20"/>
              </w:rPr>
              <w:t>)</w:t>
            </w:r>
          </w:p>
        </w:tc>
        <w:tc>
          <w:tcPr>
            <w:tcW w:w="3429" w:type="dxa"/>
          </w:tcPr>
          <w:p w14:paraId="018F142D" w14:textId="77777777" w:rsidR="005B01D6" w:rsidRPr="005B01D6" w:rsidRDefault="005B01D6" w:rsidP="005B01D6">
            <w:pPr>
              <w:jc w:val="both"/>
              <w:textAlignment w:val="baseline"/>
              <w:rPr>
                <w:rFonts w:ascii="Arial" w:eastAsia="Calibri" w:hAnsi="Arial" w:cs="Arial"/>
                <w:sz w:val="20"/>
                <w:szCs w:val="20"/>
              </w:rPr>
            </w:pPr>
            <w:r w:rsidRPr="005B01D6">
              <w:rPr>
                <w:rFonts w:ascii="Arial" w:eastAsia="Calibri" w:hAnsi="Arial" w:cs="Arial"/>
                <w:sz w:val="20"/>
                <w:szCs w:val="20"/>
              </w:rPr>
              <w:t>Being a separate and independent procedure, like other procedures such as termination, invalidation or appeal.</w:t>
            </w:r>
          </w:p>
        </w:tc>
      </w:tr>
    </w:tbl>
    <w:p w14:paraId="1C95C063" w14:textId="77777777" w:rsidR="005B01D6" w:rsidRPr="005B01D6" w:rsidRDefault="005B01D6" w:rsidP="005B01D6">
      <w:pPr>
        <w:spacing w:after="0" w:line="240" w:lineRule="auto"/>
        <w:jc w:val="both"/>
        <w:rPr>
          <w:rFonts w:ascii="Arial" w:eastAsia="Calibri" w:hAnsi="Arial" w:cs="Arial"/>
          <w:sz w:val="20"/>
          <w:szCs w:val="20"/>
        </w:rPr>
      </w:pPr>
    </w:p>
    <w:p w14:paraId="380251AF" w14:textId="77777777" w:rsidR="005B01D6" w:rsidRPr="005B01D6" w:rsidRDefault="005B01D6" w:rsidP="005B01D6">
      <w:pPr>
        <w:spacing w:after="0" w:line="240" w:lineRule="auto"/>
        <w:jc w:val="both"/>
        <w:rPr>
          <w:rFonts w:ascii="Arial" w:hAnsi="Arial" w:cs="Arial"/>
          <w:b/>
          <w:bCs/>
          <w:color w:val="0070C0"/>
          <w:sz w:val="20"/>
          <w:szCs w:val="20"/>
        </w:rPr>
      </w:pPr>
      <w:r w:rsidRPr="005B01D6">
        <w:rPr>
          <w:rFonts w:ascii="Arial" w:hAnsi="Arial" w:cs="Arial"/>
          <w:b/>
          <w:bCs/>
          <w:color w:val="0070C0"/>
          <w:sz w:val="20"/>
          <w:szCs w:val="20"/>
        </w:rPr>
        <w:t>2. Nine legal grounds for opposition/refusal of a patent application in Vietnam</w:t>
      </w:r>
    </w:p>
    <w:p w14:paraId="4C04777F" w14:textId="77777777" w:rsidR="005B01D6" w:rsidRPr="005B01D6" w:rsidRDefault="005B01D6" w:rsidP="005B01D6">
      <w:pPr>
        <w:spacing w:after="0" w:line="240" w:lineRule="auto"/>
        <w:jc w:val="both"/>
        <w:rPr>
          <w:rFonts w:ascii="Arial" w:eastAsia="Calibri" w:hAnsi="Arial" w:cs="Arial"/>
          <w:sz w:val="20"/>
          <w:szCs w:val="20"/>
        </w:rPr>
      </w:pPr>
    </w:p>
    <w:p w14:paraId="62692391"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The 2022 IP Law has included 5 grounds upon which a third party may file an opposition or IP VIETNAM may refuse protection of a patent application, bringing the total to 9 grounds as follows:</w:t>
      </w:r>
    </w:p>
    <w:p w14:paraId="7686691C" w14:textId="77777777" w:rsidR="005B01D6" w:rsidRPr="005B01D6" w:rsidRDefault="005B01D6" w:rsidP="005B01D6">
      <w:pPr>
        <w:spacing w:after="0" w:line="240" w:lineRule="auto"/>
        <w:jc w:val="both"/>
        <w:rPr>
          <w:rFonts w:ascii="Arial" w:eastAsia="Calibri" w:hAnsi="Arial" w:cs="Arial"/>
          <w:sz w:val="20"/>
          <w:szCs w:val="20"/>
        </w:rPr>
      </w:pPr>
    </w:p>
    <w:tbl>
      <w:tblPr>
        <w:tblStyle w:val="TableGrid"/>
        <w:tblW w:w="9639" w:type="dxa"/>
        <w:tblInd w:w="108"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ayout w:type="fixed"/>
        <w:tblLook w:val="04A0" w:firstRow="1" w:lastRow="0" w:firstColumn="1" w:lastColumn="0" w:noHBand="0" w:noVBand="1"/>
      </w:tblPr>
      <w:tblGrid>
        <w:gridCol w:w="486"/>
        <w:gridCol w:w="7774"/>
        <w:gridCol w:w="1379"/>
      </w:tblGrid>
      <w:tr w:rsidR="005B01D6" w:rsidRPr="005B01D6" w14:paraId="274CCA1C" w14:textId="77777777" w:rsidTr="00287D85">
        <w:tc>
          <w:tcPr>
            <w:tcW w:w="486" w:type="dxa"/>
            <w:shd w:val="pct20" w:color="auto" w:fill="auto"/>
          </w:tcPr>
          <w:p w14:paraId="1D7B458B" w14:textId="77777777" w:rsidR="005B01D6" w:rsidRPr="005B01D6" w:rsidRDefault="005B01D6" w:rsidP="005B01D6">
            <w:pPr>
              <w:jc w:val="center"/>
              <w:rPr>
                <w:rFonts w:ascii="Arial" w:eastAsia="Calibri" w:hAnsi="Arial" w:cs="Arial"/>
                <w:b/>
                <w:bCs/>
                <w:sz w:val="20"/>
                <w:szCs w:val="20"/>
              </w:rPr>
            </w:pPr>
            <w:r w:rsidRPr="005B01D6">
              <w:rPr>
                <w:rFonts w:ascii="Arial" w:eastAsia="Calibri" w:hAnsi="Arial" w:cs="Arial"/>
                <w:b/>
                <w:bCs/>
                <w:sz w:val="20"/>
                <w:szCs w:val="20"/>
              </w:rPr>
              <w:t>No</w:t>
            </w:r>
          </w:p>
        </w:tc>
        <w:tc>
          <w:tcPr>
            <w:tcW w:w="7774" w:type="dxa"/>
            <w:shd w:val="pct20" w:color="auto" w:fill="auto"/>
          </w:tcPr>
          <w:p w14:paraId="1D27AE67" w14:textId="77777777" w:rsidR="005B01D6" w:rsidRPr="005B01D6" w:rsidRDefault="005B01D6" w:rsidP="005B01D6">
            <w:pPr>
              <w:jc w:val="center"/>
              <w:rPr>
                <w:rFonts w:ascii="Arial" w:eastAsia="Calibri" w:hAnsi="Arial" w:cs="Arial"/>
                <w:b/>
                <w:bCs/>
                <w:sz w:val="20"/>
                <w:szCs w:val="20"/>
              </w:rPr>
            </w:pPr>
            <w:r w:rsidRPr="005B01D6">
              <w:rPr>
                <w:rFonts w:ascii="Arial" w:eastAsia="Calibri" w:hAnsi="Arial" w:cs="Arial"/>
                <w:b/>
                <w:bCs/>
                <w:sz w:val="20"/>
                <w:szCs w:val="20"/>
              </w:rPr>
              <w:t>Legal grounds</w:t>
            </w:r>
          </w:p>
        </w:tc>
        <w:tc>
          <w:tcPr>
            <w:tcW w:w="1379" w:type="dxa"/>
            <w:shd w:val="pct20" w:color="auto" w:fill="auto"/>
          </w:tcPr>
          <w:p w14:paraId="165A7525" w14:textId="77777777" w:rsidR="005B01D6" w:rsidRPr="005B01D6" w:rsidRDefault="005B01D6" w:rsidP="005B01D6">
            <w:pPr>
              <w:jc w:val="center"/>
              <w:rPr>
                <w:rFonts w:ascii="Arial" w:eastAsia="Calibri" w:hAnsi="Arial" w:cs="Arial"/>
                <w:b/>
                <w:bCs/>
                <w:sz w:val="20"/>
                <w:szCs w:val="20"/>
              </w:rPr>
            </w:pPr>
            <w:r w:rsidRPr="005B01D6">
              <w:rPr>
                <w:rFonts w:ascii="Arial" w:eastAsia="Calibri" w:hAnsi="Arial" w:cs="Arial"/>
                <w:b/>
                <w:bCs/>
                <w:sz w:val="20"/>
                <w:szCs w:val="20"/>
              </w:rPr>
              <w:t>Note</w:t>
            </w:r>
          </w:p>
        </w:tc>
      </w:tr>
      <w:tr w:rsidR="005B01D6" w:rsidRPr="005B01D6" w14:paraId="1786F4BD" w14:textId="77777777" w:rsidTr="00287D85">
        <w:tc>
          <w:tcPr>
            <w:tcW w:w="486" w:type="dxa"/>
          </w:tcPr>
          <w:p w14:paraId="47F25A74" w14:textId="77777777" w:rsidR="005B01D6" w:rsidRPr="005B01D6" w:rsidRDefault="005B01D6" w:rsidP="005B01D6">
            <w:pPr>
              <w:jc w:val="center"/>
              <w:rPr>
                <w:rFonts w:ascii="Arial" w:eastAsia="Calibri" w:hAnsi="Arial" w:cs="Arial"/>
                <w:sz w:val="20"/>
                <w:szCs w:val="20"/>
              </w:rPr>
            </w:pPr>
            <w:r w:rsidRPr="005B01D6">
              <w:rPr>
                <w:rFonts w:ascii="Arial" w:eastAsia="Calibri" w:hAnsi="Arial" w:cs="Arial"/>
                <w:sz w:val="20"/>
                <w:szCs w:val="20"/>
              </w:rPr>
              <w:t>1</w:t>
            </w:r>
          </w:p>
        </w:tc>
        <w:tc>
          <w:tcPr>
            <w:tcW w:w="7774" w:type="dxa"/>
          </w:tcPr>
          <w:p w14:paraId="3784FC84"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sz w:val="20"/>
                <w:szCs w:val="20"/>
              </w:rPr>
              <w:t>The invention does not fully meet the protection criteria (</w:t>
            </w:r>
            <w:r w:rsidRPr="005B01D6">
              <w:rPr>
                <w:rFonts w:ascii="Arial" w:eastAsia="Calibri" w:hAnsi="Arial" w:cs="Arial"/>
                <w:i/>
                <w:sz w:val="20"/>
                <w:szCs w:val="20"/>
              </w:rPr>
              <w:t>three following conditions must be satisfied: novelty, inventive step, and industrial applicability</w:t>
            </w:r>
            <w:r w:rsidRPr="005B01D6">
              <w:rPr>
                <w:rFonts w:ascii="Arial" w:eastAsia="Calibri" w:hAnsi="Arial" w:cs="Arial"/>
                <w:sz w:val="20"/>
                <w:szCs w:val="20"/>
              </w:rPr>
              <w:t>).</w:t>
            </w:r>
          </w:p>
        </w:tc>
        <w:tc>
          <w:tcPr>
            <w:tcW w:w="1379" w:type="dxa"/>
          </w:tcPr>
          <w:p w14:paraId="03D82EC5"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sz w:val="20"/>
                <w:szCs w:val="20"/>
              </w:rPr>
              <w:t xml:space="preserve">The 2005 IP Law </w:t>
            </w:r>
          </w:p>
        </w:tc>
      </w:tr>
      <w:tr w:rsidR="005B01D6" w:rsidRPr="005B01D6" w14:paraId="064AD3BA" w14:textId="77777777" w:rsidTr="00287D85">
        <w:tc>
          <w:tcPr>
            <w:tcW w:w="486" w:type="dxa"/>
          </w:tcPr>
          <w:p w14:paraId="2F67C0D7" w14:textId="77777777" w:rsidR="005B01D6" w:rsidRPr="005B01D6" w:rsidRDefault="005B01D6" w:rsidP="005B01D6">
            <w:pPr>
              <w:jc w:val="center"/>
              <w:rPr>
                <w:rFonts w:ascii="Arial" w:eastAsia="Calibri" w:hAnsi="Arial" w:cs="Arial"/>
                <w:sz w:val="20"/>
                <w:szCs w:val="20"/>
              </w:rPr>
            </w:pPr>
            <w:r w:rsidRPr="005B01D6">
              <w:rPr>
                <w:rFonts w:ascii="Arial" w:eastAsia="Calibri" w:hAnsi="Arial" w:cs="Arial"/>
                <w:sz w:val="20"/>
                <w:szCs w:val="20"/>
              </w:rPr>
              <w:t>2</w:t>
            </w:r>
          </w:p>
        </w:tc>
        <w:tc>
          <w:tcPr>
            <w:tcW w:w="7774" w:type="dxa"/>
          </w:tcPr>
          <w:p w14:paraId="3A5DCB34"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sz w:val="20"/>
                <w:szCs w:val="20"/>
              </w:rPr>
              <w:t>The patent applicant neither has the right to register the invention nor being assigned the right to register.</w:t>
            </w:r>
          </w:p>
        </w:tc>
        <w:tc>
          <w:tcPr>
            <w:tcW w:w="1379" w:type="dxa"/>
          </w:tcPr>
          <w:p w14:paraId="3B494E3A"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sz w:val="20"/>
                <w:szCs w:val="20"/>
              </w:rPr>
              <w:t xml:space="preserve">The 2005 IP Law </w:t>
            </w:r>
          </w:p>
        </w:tc>
      </w:tr>
      <w:tr w:rsidR="005B01D6" w:rsidRPr="005B01D6" w14:paraId="3F027AD9" w14:textId="77777777" w:rsidTr="00287D85">
        <w:tc>
          <w:tcPr>
            <w:tcW w:w="486" w:type="dxa"/>
          </w:tcPr>
          <w:p w14:paraId="7FA93313" w14:textId="77777777" w:rsidR="005B01D6" w:rsidRPr="005B01D6" w:rsidRDefault="005B01D6" w:rsidP="005B01D6">
            <w:pPr>
              <w:jc w:val="center"/>
              <w:rPr>
                <w:rFonts w:ascii="Arial" w:eastAsia="Calibri" w:hAnsi="Arial" w:cs="Arial"/>
                <w:sz w:val="20"/>
                <w:szCs w:val="20"/>
              </w:rPr>
            </w:pPr>
            <w:r w:rsidRPr="005B01D6">
              <w:rPr>
                <w:rFonts w:ascii="Arial" w:eastAsia="Calibri" w:hAnsi="Arial" w:cs="Arial"/>
                <w:sz w:val="20"/>
                <w:szCs w:val="20"/>
              </w:rPr>
              <w:t>3</w:t>
            </w:r>
          </w:p>
        </w:tc>
        <w:tc>
          <w:tcPr>
            <w:tcW w:w="7774" w:type="dxa"/>
          </w:tcPr>
          <w:p w14:paraId="19195C10"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sz w:val="20"/>
                <w:szCs w:val="20"/>
              </w:rPr>
              <w:t>The invention does not meet the first-to-file principle (</w:t>
            </w:r>
            <w:r w:rsidRPr="005B01D6">
              <w:rPr>
                <w:rFonts w:ascii="Arial" w:eastAsia="Calibri" w:hAnsi="Arial" w:cs="Arial"/>
                <w:i/>
                <w:sz w:val="20"/>
                <w:szCs w:val="20"/>
              </w:rPr>
              <w:t>not the invention with the earliest priority or filing date</w:t>
            </w:r>
            <w:r w:rsidRPr="005B01D6">
              <w:rPr>
                <w:rFonts w:ascii="Arial" w:eastAsia="Calibri" w:hAnsi="Arial" w:cs="Arial"/>
                <w:sz w:val="20"/>
                <w:szCs w:val="20"/>
              </w:rPr>
              <w:t>).</w:t>
            </w:r>
          </w:p>
        </w:tc>
        <w:tc>
          <w:tcPr>
            <w:tcW w:w="1379" w:type="dxa"/>
          </w:tcPr>
          <w:p w14:paraId="7CED8489"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sz w:val="20"/>
                <w:szCs w:val="20"/>
              </w:rPr>
              <w:t xml:space="preserve">The 2005 IP Law </w:t>
            </w:r>
          </w:p>
        </w:tc>
      </w:tr>
      <w:tr w:rsidR="005B01D6" w:rsidRPr="005B01D6" w14:paraId="01701574" w14:textId="77777777" w:rsidTr="00287D85">
        <w:tc>
          <w:tcPr>
            <w:tcW w:w="486" w:type="dxa"/>
          </w:tcPr>
          <w:p w14:paraId="5D2FB311" w14:textId="77777777" w:rsidR="005B01D6" w:rsidRPr="005B01D6" w:rsidRDefault="005B01D6" w:rsidP="005B01D6">
            <w:pPr>
              <w:jc w:val="center"/>
              <w:rPr>
                <w:rFonts w:ascii="Arial" w:eastAsia="Calibri" w:hAnsi="Arial" w:cs="Arial"/>
                <w:sz w:val="20"/>
                <w:szCs w:val="20"/>
              </w:rPr>
            </w:pPr>
            <w:r w:rsidRPr="005B01D6">
              <w:rPr>
                <w:rFonts w:ascii="Arial" w:eastAsia="Calibri" w:hAnsi="Arial" w:cs="Arial"/>
                <w:sz w:val="20"/>
                <w:szCs w:val="20"/>
              </w:rPr>
              <w:t>4</w:t>
            </w:r>
          </w:p>
        </w:tc>
        <w:tc>
          <w:tcPr>
            <w:tcW w:w="7774" w:type="dxa"/>
          </w:tcPr>
          <w:p w14:paraId="09F58405"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sz w:val="20"/>
                <w:szCs w:val="20"/>
              </w:rPr>
              <w:t>There is no consent from all applicants (</w:t>
            </w:r>
            <w:r w:rsidRPr="005B01D6">
              <w:rPr>
                <w:rFonts w:ascii="Arial" w:eastAsia="Calibri" w:hAnsi="Arial" w:cs="Arial"/>
                <w:i/>
                <w:sz w:val="20"/>
                <w:szCs w:val="20"/>
              </w:rPr>
              <w:t>in case of having more than one similar or identical patent application filed on the same day, which then meet the requirements of protection</w:t>
            </w:r>
            <w:r w:rsidRPr="005B01D6">
              <w:rPr>
                <w:rFonts w:ascii="Arial" w:eastAsia="Calibri" w:hAnsi="Arial" w:cs="Arial"/>
                <w:sz w:val="20"/>
                <w:szCs w:val="20"/>
              </w:rPr>
              <w:t>).</w:t>
            </w:r>
          </w:p>
        </w:tc>
        <w:tc>
          <w:tcPr>
            <w:tcW w:w="1379" w:type="dxa"/>
          </w:tcPr>
          <w:p w14:paraId="2AD67C6C"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sz w:val="20"/>
                <w:szCs w:val="20"/>
              </w:rPr>
              <w:t xml:space="preserve">The 2005 IP Law </w:t>
            </w:r>
          </w:p>
        </w:tc>
      </w:tr>
      <w:tr w:rsidR="005B01D6" w:rsidRPr="005B01D6" w14:paraId="7C0C2944" w14:textId="77777777" w:rsidTr="00287D85">
        <w:tc>
          <w:tcPr>
            <w:tcW w:w="486" w:type="dxa"/>
          </w:tcPr>
          <w:p w14:paraId="43F3AAED" w14:textId="77777777" w:rsidR="005B01D6" w:rsidRPr="005B01D6" w:rsidRDefault="005B01D6" w:rsidP="005B01D6">
            <w:pPr>
              <w:jc w:val="center"/>
              <w:rPr>
                <w:rFonts w:ascii="Arial" w:eastAsia="Calibri" w:hAnsi="Arial" w:cs="Arial"/>
                <w:bCs/>
                <w:sz w:val="20"/>
                <w:szCs w:val="20"/>
              </w:rPr>
            </w:pPr>
            <w:r w:rsidRPr="005B01D6">
              <w:rPr>
                <w:rFonts w:ascii="Arial" w:eastAsia="Calibri" w:hAnsi="Arial" w:cs="Arial"/>
                <w:bCs/>
                <w:sz w:val="20"/>
                <w:szCs w:val="20"/>
              </w:rPr>
              <w:t>5</w:t>
            </w:r>
          </w:p>
        </w:tc>
        <w:tc>
          <w:tcPr>
            <w:tcW w:w="7774" w:type="dxa"/>
          </w:tcPr>
          <w:p w14:paraId="75F1313E"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sz w:val="20"/>
                <w:szCs w:val="20"/>
              </w:rPr>
              <w:t>Amendments and supplements to a patent application go beyond the scope of the subject matters disclosed or stated in the original application or change the nature of the claimed subject matters.</w:t>
            </w:r>
          </w:p>
        </w:tc>
        <w:tc>
          <w:tcPr>
            <w:tcW w:w="1379" w:type="dxa"/>
          </w:tcPr>
          <w:p w14:paraId="40FB1973" w14:textId="77777777" w:rsidR="005B01D6" w:rsidRPr="00077F84" w:rsidRDefault="005B01D6" w:rsidP="005B01D6">
            <w:pPr>
              <w:jc w:val="both"/>
              <w:rPr>
                <w:rFonts w:ascii="Arial" w:eastAsia="Calibri" w:hAnsi="Arial" w:cs="Arial"/>
                <w:bCs/>
                <w:sz w:val="20"/>
                <w:szCs w:val="20"/>
              </w:rPr>
            </w:pPr>
            <w:r w:rsidRPr="00077F84">
              <w:rPr>
                <w:rFonts w:ascii="Arial" w:eastAsia="Calibri" w:hAnsi="Arial" w:cs="Arial"/>
                <w:bCs/>
                <w:sz w:val="20"/>
                <w:szCs w:val="20"/>
              </w:rPr>
              <w:t xml:space="preserve">The 2022 IP Law </w:t>
            </w:r>
          </w:p>
        </w:tc>
      </w:tr>
      <w:tr w:rsidR="005B01D6" w:rsidRPr="005B01D6" w14:paraId="46DC66EB" w14:textId="77777777" w:rsidTr="00287D85">
        <w:tc>
          <w:tcPr>
            <w:tcW w:w="486" w:type="dxa"/>
          </w:tcPr>
          <w:p w14:paraId="79980365" w14:textId="77777777" w:rsidR="005B01D6" w:rsidRPr="005B01D6" w:rsidRDefault="005B01D6" w:rsidP="005B01D6">
            <w:pPr>
              <w:jc w:val="center"/>
              <w:rPr>
                <w:rFonts w:ascii="Arial" w:eastAsia="Calibri" w:hAnsi="Arial" w:cs="Arial"/>
                <w:bCs/>
                <w:sz w:val="20"/>
                <w:szCs w:val="20"/>
              </w:rPr>
            </w:pPr>
            <w:r w:rsidRPr="005B01D6">
              <w:rPr>
                <w:rFonts w:ascii="Arial" w:eastAsia="Calibri" w:hAnsi="Arial" w:cs="Arial"/>
                <w:bCs/>
                <w:sz w:val="20"/>
                <w:szCs w:val="20"/>
              </w:rPr>
              <w:t>6</w:t>
            </w:r>
          </w:p>
        </w:tc>
        <w:tc>
          <w:tcPr>
            <w:tcW w:w="7774" w:type="dxa"/>
          </w:tcPr>
          <w:p w14:paraId="57C736E5"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sz w:val="20"/>
                <w:szCs w:val="20"/>
              </w:rPr>
              <w:t>The claimed invention exceeds the scope of disclosure in the original description of the patent application.</w:t>
            </w:r>
          </w:p>
        </w:tc>
        <w:tc>
          <w:tcPr>
            <w:tcW w:w="1379" w:type="dxa"/>
          </w:tcPr>
          <w:p w14:paraId="1091DD1D" w14:textId="77777777" w:rsidR="005B01D6" w:rsidRPr="00077F84" w:rsidRDefault="005B01D6" w:rsidP="005B01D6">
            <w:pPr>
              <w:jc w:val="both"/>
              <w:rPr>
                <w:rFonts w:ascii="Arial" w:eastAsia="Calibri" w:hAnsi="Arial" w:cs="Arial"/>
                <w:bCs/>
                <w:sz w:val="20"/>
                <w:szCs w:val="20"/>
              </w:rPr>
            </w:pPr>
            <w:r w:rsidRPr="00077F84">
              <w:rPr>
                <w:rFonts w:ascii="Arial" w:eastAsia="Calibri" w:hAnsi="Arial" w:cs="Arial"/>
                <w:bCs/>
                <w:sz w:val="20"/>
                <w:szCs w:val="20"/>
              </w:rPr>
              <w:t xml:space="preserve">The 2022 IP Law </w:t>
            </w:r>
          </w:p>
        </w:tc>
        <w:bookmarkStart w:id="3" w:name="_GoBack"/>
        <w:bookmarkEnd w:id="3"/>
      </w:tr>
      <w:tr w:rsidR="005B01D6" w:rsidRPr="005B01D6" w14:paraId="3A72FC56" w14:textId="77777777" w:rsidTr="00287D85">
        <w:tc>
          <w:tcPr>
            <w:tcW w:w="486" w:type="dxa"/>
          </w:tcPr>
          <w:p w14:paraId="106526DB" w14:textId="77777777" w:rsidR="005B01D6" w:rsidRPr="005B01D6" w:rsidRDefault="005B01D6" w:rsidP="005B01D6">
            <w:pPr>
              <w:jc w:val="center"/>
              <w:rPr>
                <w:rFonts w:ascii="Arial" w:eastAsia="Calibri" w:hAnsi="Arial" w:cs="Arial"/>
                <w:bCs/>
                <w:sz w:val="20"/>
                <w:szCs w:val="20"/>
              </w:rPr>
            </w:pPr>
            <w:r w:rsidRPr="005B01D6">
              <w:rPr>
                <w:rFonts w:ascii="Arial" w:eastAsia="Calibri" w:hAnsi="Arial" w:cs="Arial"/>
                <w:bCs/>
                <w:sz w:val="20"/>
                <w:szCs w:val="20"/>
              </w:rPr>
              <w:t>7</w:t>
            </w:r>
          </w:p>
        </w:tc>
        <w:tc>
          <w:tcPr>
            <w:tcW w:w="7774" w:type="dxa"/>
          </w:tcPr>
          <w:p w14:paraId="13905F1A"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sz w:val="20"/>
                <w:szCs w:val="20"/>
              </w:rPr>
              <w:t xml:space="preserve">The invention has not been sufficiently disclosed in the patent description to the extent that </w:t>
            </w:r>
            <w:proofErr w:type="spellStart"/>
            <w:r w:rsidRPr="005B01D6">
              <w:rPr>
                <w:rFonts w:ascii="Arial" w:eastAsia="Calibri" w:hAnsi="Arial" w:cs="Arial"/>
                <w:sz w:val="20"/>
                <w:szCs w:val="20"/>
              </w:rPr>
              <w:t>perrson</w:t>
            </w:r>
            <w:proofErr w:type="spellEnd"/>
            <w:r w:rsidRPr="005B01D6">
              <w:rPr>
                <w:rFonts w:ascii="Arial" w:eastAsia="Calibri" w:hAnsi="Arial" w:cs="Arial"/>
                <w:sz w:val="20"/>
                <w:szCs w:val="20"/>
              </w:rPr>
              <w:t xml:space="preserve"> with average skill in the art may be able to implement the solution stated in the claim.</w:t>
            </w:r>
          </w:p>
        </w:tc>
        <w:tc>
          <w:tcPr>
            <w:tcW w:w="1379" w:type="dxa"/>
          </w:tcPr>
          <w:p w14:paraId="249D1D1F" w14:textId="77777777" w:rsidR="005B01D6" w:rsidRPr="00077F84" w:rsidRDefault="005B01D6" w:rsidP="005B01D6">
            <w:pPr>
              <w:jc w:val="both"/>
              <w:rPr>
                <w:rFonts w:ascii="Arial" w:eastAsia="Calibri" w:hAnsi="Arial" w:cs="Arial"/>
                <w:bCs/>
                <w:sz w:val="20"/>
                <w:szCs w:val="20"/>
              </w:rPr>
            </w:pPr>
            <w:r w:rsidRPr="00077F84">
              <w:rPr>
                <w:rFonts w:ascii="Arial" w:eastAsia="Calibri" w:hAnsi="Arial" w:cs="Arial"/>
                <w:bCs/>
                <w:sz w:val="20"/>
                <w:szCs w:val="20"/>
              </w:rPr>
              <w:t xml:space="preserve">The 2022 IP Law </w:t>
            </w:r>
          </w:p>
        </w:tc>
      </w:tr>
      <w:tr w:rsidR="005B01D6" w:rsidRPr="005B01D6" w14:paraId="101C4CFF" w14:textId="77777777" w:rsidTr="00287D85">
        <w:tc>
          <w:tcPr>
            <w:tcW w:w="486" w:type="dxa"/>
          </w:tcPr>
          <w:p w14:paraId="6847536B" w14:textId="77777777" w:rsidR="005B01D6" w:rsidRPr="005B01D6" w:rsidRDefault="005B01D6" w:rsidP="005B01D6">
            <w:pPr>
              <w:jc w:val="center"/>
              <w:rPr>
                <w:rFonts w:ascii="Arial" w:eastAsia="Calibri" w:hAnsi="Arial" w:cs="Arial"/>
                <w:bCs/>
                <w:sz w:val="20"/>
                <w:szCs w:val="20"/>
              </w:rPr>
            </w:pPr>
            <w:r w:rsidRPr="005B01D6">
              <w:rPr>
                <w:rFonts w:ascii="Arial" w:eastAsia="Calibri" w:hAnsi="Arial" w:cs="Arial"/>
                <w:bCs/>
                <w:sz w:val="20"/>
                <w:szCs w:val="20"/>
              </w:rPr>
              <w:t>8</w:t>
            </w:r>
          </w:p>
        </w:tc>
        <w:tc>
          <w:tcPr>
            <w:tcW w:w="7774" w:type="dxa"/>
          </w:tcPr>
          <w:p w14:paraId="13582A75"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sz w:val="20"/>
                <w:szCs w:val="20"/>
              </w:rPr>
              <w:t>Failure to disclose or improper disclosure on the origin of genetic resources or traditional knowledge of genetic resources in the case of patent applications for inventions which are directly based on genetic resources or traditional knowledge of genetic resources.</w:t>
            </w:r>
          </w:p>
        </w:tc>
        <w:tc>
          <w:tcPr>
            <w:tcW w:w="1379" w:type="dxa"/>
          </w:tcPr>
          <w:p w14:paraId="38618446" w14:textId="77777777" w:rsidR="005B01D6" w:rsidRPr="00077F84" w:rsidRDefault="005B01D6" w:rsidP="005B01D6">
            <w:pPr>
              <w:jc w:val="both"/>
              <w:rPr>
                <w:rFonts w:ascii="Arial" w:eastAsia="Calibri" w:hAnsi="Arial" w:cs="Arial"/>
                <w:bCs/>
                <w:sz w:val="20"/>
                <w:szCs w:val="20"/>
              </w:rPr>
            </w:pPr>
            <w:r w:rsidRPr="00077F84">
              <w:rPr>
                <w:rFonts w:ascii="Arial" w:eastAsia="Calibri" w:hAnsi="Arial" w:cs="Arial"/>
                <w:bCs/>
                <w:sz w:val="20"/>
                <w:szCs w:val="20"/>
              </w:rPr>
              <w:t xml:space="preserve">The 2022 IP Law </w:t>
            </w:r>
          </w:p>
        </w:tc>
      </w:tr>
      <w:tr w:rsidR="005B01D6" w:rsidRPr="005B01D6" w14:paraId="4549DE84" w14:textId="77777777" w:rsidTr="00287D85">
        <w:tc>
          <w:tcPr>
            <w:tcW w:w="486" w:type="dxa"/>
          </w:tcPr>
          <w:p w14:paraId="28C284C4" w14:textId="77777777" w:rsidR="005B01D6" w:rsidRPr="005B01D6" w:rsidRDefault="005B01D6" w:rsidP="005B01D6">
            <w:pPr>
              <w:jc w:val="center"/>
              <w:rPr>
                <w:rFonts w:ascii="Arial" w:eastAsia="Calibri" w:hAnsi="Arial" w:cs="Arial"/>
                <w:bCs/>
                <w:sz w:val="20"/>
                <w:szCs w:val="20"/>
              </w:rPr>
            </w:pPr>
            <w:r w:rsidRPr="005B01D6">
              <w:rPr>
                <w:rFonts w:ascii="Arial" w:eastAsia="Calibri" w:hAnsi="Arial" w:cs="Arial"/>
                <w:bCs/>
                <w:sz w:val="20"/>
                <w:szCs w:val="20"/>
              </w:rPr>
              <w:t>9</w:t>
            </w:r>
          </w:p>
        </w:tc>
        <w:tc>
          <w:tcPr>
            <w:tcW w:w="7774" w:type="dxa"/>
          </w:tcPr>
          <w:p w14:paraId="496C1A89"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sz w:val="20"/>
                <w:szCs w:val="20"/>
              </w:rPr>
              <w:t>Patent applications are filed in violation of the regulations on security control for inventions before being filed abroad.</w:t>
            </w:r>
          </w:p>
        </w:tc>
        <w:tc>
          <w:tcPr>
            <w:tcW w:w="1379" w:type="dxa"/>
          </w:tcPr>
          <w:p w14:paraId="5342D09C" w14:textId="77777777" w:rsidR="005B01D6" w:rsidRPr="00077F84" w:rsidRDefault="005B01D6" w:rsidP="005B01D6">
            <w:pPr>
              <w:jc w:val="both"/>
              <w:rPr>
                <w:rFonts w:ascii="Arial" w:eastAsia="Calibri" w:hAnsi="Arial" w:cs="Arial"/>
                <w:bCs/>
                <w:sz w:val="20"/>
                <w:szCs w:val="20"/>
              </w:rPr>
            </w:pPr>
            <w:r w:rsidRPr="00077F84">
              <w:rPr>
                <w:rFonts w:ascii="Arial" w:eastAsia="Calibri" w:hAnsi="Arial" w:cs="Arial"/>
                <w:bCs/>
                <w:sz w:val="20"/>
                <w:szCs w:val="20"/>
              </w:rPr>
              <w:t xml:space="preserve">The 2022 IP Law </w:t>
            </w:r>
          </w:p>
        </w:tc>
      </w:tr>
    </w:tbl>
    <w:p w14:paraId="3DEA52BB" w14:textId="77777777" w:rsidR="005B01D6" w:rsidRPr="005B01D6" w:rsidRDefault="005B01D6" w:rsidP="005B01D6">
      <w:pPr>
        <w:spacing w:after="0" w:line="240" w:lineRule="auto"/>
        <w:jc w:val="both"/>
        <w:rPr>
          <w:rFonts w:ascii="Arial" w:eastAsia="Calibri" w:hAnsi="Arial" w:cs="Arial"/>
          <w:b/>
          <w:bCs/>
          <w:sz w:val="20"/>
          <w:szCs w:val="20"/>
        </w:rPr>
      </w:pPr>
    </w:p>
    <w:p w14:paraId="6174B589" w14:textId="77777777" w:rsidR="005B01D6" w:rsidRPr="005B01D6" w:rsidRDefault="005B01D6" w:rsidP="005B01D6">
      <w:pPr>
        <w:spacing w:after="0" w:line="240" w:lineRule="auto"/>
        <w:jc w:val="both"/>
        <w:rPr>
          <w:rFonts w:ascii="Arial" w:hAnsi="Arial" w:cs="Arial"/>
          <w:b/>
          <w:bCs/>
          <w:color w:val="0070C0"/>
          <w:sz w:val="20"/>
          <w:szCs w:val="20"/>
        </w:rPr>
      </w:pPr>
      <w:r w:rsidRPr="005B01D6">
        <w:rPr>
          <w:rFonts w:ascii="Arial" w:hAnsi="Arial" w:cs="Arial"/>
          <w:b/>
          <w:bCs/>
          <w:color w:val="0070C0"/>
          <w:sz w:val="20"/>
          <w:szCs w:val="20"/>
        </w:rPr>
        <w:t xml:space="preserve">3. Novelty of Inventions </w:t>
      </w:r>
    </w:p>
    <w:p w14:paraId="55652E4C" w14:textId="77777777" w:rsidR="005B01D6" w:rsidRPr="005B01D6" w:rsidRDefault="005B01D6" w:rsidP="005B01D6">
      <w:pPr>
        <w:spacing w:after="0" w:line="240" w:lineRule="auto"/>
        <w:jc w:val="both"/>
        <w:rPr>
          <w:rFonts w:ascii="Arial" w:eastAsia="Calibri" w:hAnsi="Arial" w:cs="Arial"/>
          <w:sz w:val="20"/>
          <w:szCs w:val="20"/>
        </w:rPr>
      </w:pPr>
    </w:p>
    <w:p w14:paraId="25ADF82C"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Under the 2005 IP Law, an invention application with earlier filing date or priority date but published on or after the publication date of another invention application with subsequent filing date or priority date is not considered a part of prior art in assessing the novelty of the later application. This situation does not ensure a satisfactory and balanced goal between the rights holder and the interests of the public, such as: the scope of prior art for assessing novelty of an invention excludes the prior application with earlier filing date or priority date, but not published yet on or after the publication date of the later application with subsequent filing date or priority date.</w:t>
      </w:r>
    </w:p>
    <w:p w14:paraId="1E166C4E" w14:textId="2FD7C608"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 xml:space="preserve">To address this issue, the 2022 IP Law establishes 02 forms of invention disclosure including (i) disclosure as a patent document and (ii) disclosure as a non-patent document, respectively, for an invention for </w:t>
      </w:r>
      <w:r w:rsidRPr="005B01D6">
        <w:rPr>
          <w:rFonts w:ascii="Arial" w:eastAsia="Calibri" w:hAnsi="Arial" w:cs="Arial"/>
          <w:sz w:val="20"/>
          <w:szCs w:val="20"/>
        </w:rPr>
        <w:lastRenderedPageBreak/>
        <w:t>registration which is considered novel. Specifically, Clause 1, Article 60 is amended and supplemented as follows:</w:t>
      </w:r>
    </w:p>
    <w:p w14:paraId="5D45A847" w14:textId="03D4EFCF" w:rsidR="005B01D6" w:rsidRPr="005B01D6" w:rsidRDefault="001D7359" w:rsidP="005B01D6">
      <w:pPr>
        <w:spacing w:after="0" w:line="240" w:lineRule="auto"/>
        <w:jc w:val="both"/>
        <w:rPr>
          <w:rFonts w:ascii="Arial" w:eastAsia="Calibri" w:hAnsi="Arial" w:cs="Arial"/>
          <w:sz w:val="20"/>
          <w:szCs w:val="20"/>
        </w:rPr>
      </w:pPr>
      <w:r w:rsidRPr="00A451ED">
        <w:rPr>
          <w:rFonts w:ascii="Arial" w:hAnsi="Arial" w:cs="Arial"/>
          <w:bCs/>
          <w:noProof/>
          <w:color w:val="C00000"/>
          <w:sz w:val="24"/>
          <w:szCs w:val="24"/>
          <w:lang w:eastAsia="ko-KR"/>
        </w:rPr>
        <mc:AlternateContent>
          <mc:Choice Requires="wps">
            <w:drawing>
              <wp:anchor distT="0" distB="0" distL="114300" distR="114300" simplePos="0" relativeHeight="251669504" behindDoc="0" locked="0" layoutInCell="1" allowOverlap="1" wp14:anchorId="537E7CF4" wp14:editId="1E6751F2">
                <wp:simplePos x="0" y="0"/>
                <wp:positionH relativeFrom="column">
                  <wp:posOffset>6337935</wp:posOffset>
                </wp:positionH>
                <wp:positionV relativeFrom="paragraph">
                  <wp:posOffset>-888365</wp:posOffset>
                </wp:positionV>
                <wp:extent cx="323850" cy="10572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3CAA39" w14:textId="77777777" w:rsidR="001D7359" w:rsidRDefault="001D7359" w:rsidP="001D7359">
                            <w:pPr>
                              <w:spacing w:after="0" w:line="240" w:lineRule="auto"/>
                              <w:jc w:val="center"/>
                              <w:rPr>
                                <w:rFonts w:ascii="Arial" w:hAnsi="Arial" w:cs="Arial"/>
                                <w:color w:val="FFFFFF" w:themeColor="background1"/>
                              </w:rPr>
                            </w:pPr>
                          </w:p>
                          <w:p w14:paraId="155B2EDE" w14:textId="77777777" w:rsidR="001D7359" w:rsidRPr="00454E68" w:rsidRDefault="001D7359" w:rsidP="001D7359">
                            <w:pPr>
                              <w:spacing w:after="0" w:line="240" w:lineRule="auto"/>
                              <w:jc w:val="center"/>
                              <w:rPr>
                                <w:rFonts w:ascii="Arial" w:hAnsi="Arial" w:cs="Arial"/>
                                <w:color w:val="FFFFFF" w:themeColor="background1"/>
                                <w:sz w:val="18"/>
                                <w:szCs w:val="18"/>
                              </w:rPr>
                            </w:pPr>
                          </w:p>
                          <w:p w14:paraId="6621AC2D" w14:textId="77777777" w:rsidR="001D7359" w:rsidRPr="001D7359" w:rsidRDefault="001D7359" w:rsidP="001D7359">
                            <w:pPr>
                              <w:spacing w:after="0" w:line="240" w:lineRule="auto"/>
                              <w:rPr>
                                <w:rFonts w:ascii="Arial" w:hAnsi="Arial" w:cs="Arial"/>
                                <w:b/>
                                <w:color w:val="FFFFFF" w:themeColor="background1"/>
                                <w:sz w:val="20"/>
                                <w:szCs w:val="20"/>
                              </w:rPr>
                            </w:pPr>
                            <w:r w:rsidRPr="00454E68">
                              <w:rPr>
                                <w:rFonts w:ascii="Arial" w:hAnsi="Arial" w:cs="Arial"/>
                                <w:color w:val="FFFFFF" w:themeColor="background1"/>
                                <w:sz w:val="18"/>
                                <w:szCs w:val="18"/>
                              </w:rPr>
                              <w:t xml:space="preserve">            </w:t>
                            </w:r>
                            <w:r w:rsidRPr="001D7359">
                              <w:rPr>
                                <w:rFonts w:ascii="Arial" w:hAnsi="Arial" w:cs="Arial"/>
                                <w:b/>
                                <w:color w:val="FFFFFF" w:themeColor="background1"/>
                                <w:sz w:val="20"/>
                                <w:szCs w:val="20"/>
                              </w:rPr>
                              <w:t>Patent in Vietnam</w:t>
                            </w:r>
                          </w:p>
                          <w:p w14:paraId="34D716A9" w14:textId="77777777" w:rsidR="001D7359" w:rsidRDefault="001D7359" w:rsidP="001D7359">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499.05pt;margin-top:-69.95pt;width:25.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" fillcolor="#00b39c" strokecolor="#00b39c" strokeweight="1pt">
                <v:textbox style="layout-flow:vertical">
                  <w:txbxContent>
                    <w:p w14:paraId="3F3CAA39" w14:textId="77777777" w:rsidR="001D7359" w:rsidRDefault="001D7359" w:rsidP="001D7359">
                      <w:pPr>
                        <w:spacing w:after="0" w:line="240" w:lineRule="auto"/>
                        <w:jc w:val="center"/>
                        <w:rPr>
                          <w:rFonts w:ascii="Arial" w:hAnsi="Arial" w:cs="Arial"/>
                          <w:color w:val="FFFFFF" w:themeColor="background1"/>
                        </w:rPr>
                      </w:pPr>
                    </w:p>
                    <w:p w14:paraId="155B2EDE" w14:textId="77777777" w:rsidR="001D7359" w:rsidRPr="00454E68" w:rsidRDefault="001D7359" w:rsidP="001D7359">
                      <w:pPr>
                        <w:spacing w:after="0" w:line="240" w:lineRule="auto"/>
                        <w:jc w:val="center"/>
                        <w:rPr>
                          <w:rFonts w:ascii="Arial" w:hAnsi="Arial" w:cs="Arial"/>
                          <w:color w:val="FFFFFF" w:themeColor="background1"/>
                          <w:sz w:val="18"/>
                          <w:szCs w:val="18"/>
                        </w:rPr>
                      </w:pPr>
                    </w:p>
                    <w:p w14:paraId="6621AC2D" w14:textId="77777777" w:rsidR="001D7359" w:rsidRPr="001D7359" w:rsidRDefault="001D7359" w:rsidP="001D7359">
                      <w:pPr>
                        <w:spacing w:after="0" w:line="240" w:lineRule="auto"/>
                        <w:rPr>
                          <w:rFonts w:ascii="Arial" w:hAnsi="Arial" w:cs="Arial"/>
                          <w:b/>
                          <w:color w:val="FFFFFF" w:themeColor="background1"/>
                          <w:sz w:val="20"/>
                          <w:szCs w:val="20"/>
                        </w:rPr>
                      </w:pPr>
                      <w:r w:rsidRPr="00454E68">
                        <w:rPr>
                          <w:rFonts w:ascii="Arial" w:hAnsi="Arial" w:cs="Arial"/>
                          <w:color w:val="FFFFFF" w:themeColor="background1"/>
                          <w:sz w:val="18"/>
                          <w:szCs w:val="18"/>
                        </w:rPr>
                        <w:t xml:space="preserve">            </w:t>
                      </w:r>
                      <w:r w:rsidRPr="001D7359">
                        <w:rPr>
                          <w:rFonts w:ascii="Arial" w:hAnsi="Arial" w:cs="Arial"/>
                          <w:b/>
                          <w:color w:val="FFFFFF" w:themeColor="background1"/>
                          <w:sz w:val="20"/>
                          <w:szCs w:val="20"/>
                        </w:rPr>
                        <w:t>Patent in Vietnam</w:t>
                      </w:r>
                    </w:p>
                    <w:p w14:paraId="34D716A9" w14:textId="77777777" w:rsidR="001D7359" w:rsidRDefault="001D7359" w:rsidP="001D7359">
                      <w:pPr>
                        <w:jc w:val="center"/>
                      </w:pPr>
                    </w:p>
                  </w:txbxContent>
                </v:textbox>
              </v:rect>
            </w:pict>
          </mc:Fallback>
        </mc:AlternateContent>
      </w:r>
    </w:p>
    <w:p w14:paraId="5455919F" w14:textId="77777777" w:rsidR="005B01D6" w:rsidRPr="005B01D6" w:rsidRDefault="005B01D6" w:rsidP="005B01D6">
      <w:pPr>
        <w:spacing w:after="0" w:line="240" w:lineRule="auto"/>
        <w:jc w:val="both"/>
        <w:rPr>
          <w:rFonts w:ascii="Arial" w:eastAsia="Calibri" w:hAnsi="Arial" w:cs="Arial"/>
          <w:i/>
          <w:iCs/>
          <w:sz w:val="20"/>
          <w:szCs w:val="20"/>
        </w:rPr>
      </w:pPr>
      <w:r w:rsidRPr="005B01D6">
        <w:rPr>
          <w:rFonts w:ascii="Arial" w:eastAsia="Calibri" w:hAnsi="Arial" w:cs="Arial"/>
          <w:sz w:val="20"/>
          <w:szCs w:val="20"/>
        </w:rPr>
        <w:t>“</w:t>
      </w:r>
      <w:r w:rsidRPr="005B01D6">
        <w:rPr>
          <w:rFonts w:ascii="Arial" w:eastAsia="Calibri" w:hAnsi="Arial" w:cs="Arial"/>
          <w:i/>
          <w:iCs/>
          <w:sz w:val="20"/>
          <w:szCs w:val="20"/>
        </w:rPr>
        <w:t>1. An invention is considered novel if it does not belong to one of the following cases:</w:t>
      </w:r>
    </w:p>
    <w:p w14:paraId="71C054D4" w14:textId="77777777" w:rsidR="005B01D6" w:rsidRPr="005B01D6" w:rsidRDefault="005B01D6" w:rsidP="005B01D6">
      <w:pPr>
        <w:spacing w:after="0" w:line="240" w:lineRule="auto"/>
        <w:jc w:val="both"/>
        <w:rPr>
          <w:rFonts w:ascii="Arial" w:eastAsia="Calibri" w:hAnsi="Arial" w:cs="Arial"/>
          <w:i/>
          <w:iCs/>
          <w:sz w:val="20"/>
          <w:szCs w:val="20"/>
        </w:rPr>
      </w:pPr>
      <w:r w:rsidRPr="005B01D6">
        <w:rPr>
          <w:rFonts w:ascii="Arial" w:eastAsia="Calibri" w:hAnsi="Arial" w:cs="Arial"/>
          <w:b/>
          <w:bCs/>
          <w:i/>
          <w:iCs/>
          <w:sz w:val="20"/>
          <w:szCs w:val="20"/>
        </w:rPr>
        <w:t>a)</w:t>
      </w:r>
      <w:r w:rsidRPr="005B01D6">
        <w:rPr>
          <w:rFonts w:ascii="Arial" w:eastAsia="Calibri" w:hAnsi="Arial" w:cs="Arial"/>
          <w:i/>
          <w:iCs/>
          <w:sz w:val="20"/>
          <w:szCs w:val="20"/>
        </w:rPr>
        <w:t xml:space="preserve"> Be publicly disclosed in the form of use, written description or any other form in the country or abroad before the filing date of the patent application, or prior to the priority date in case the patent application claims for the right of priority; </w:t>
      </w:r>
    </w:p>
    <w:p w14:paraId="7A834192" w14:textId="77777777" w:rsidR="005B01D6" w:rsidRPr="005B01D6" w:rsidRDefault="005B01D6" w:rsidP="005B01D6">
      <w:pPr>
        <w:spacing w:after="0" w:line="240" w:lineRule="auto"/>
        <w:jc w:val="both"/>
        <w:rPr>
          <w:rFonts w:ascii="Arial" w:eastAsia="Calibri" w:hAnsi="Arial" w:cs="Arial"/>
          <w:i/>
          <w:iCs/>
          <w:sz w:val="20"/>
          <w:szCs w:val="20"/>
        </w:rPr>
      </w:pPr>
      <w:r w:rsidRPr="005B01D6">
        <w:rPr>
          <w:rFonts w:ascii="Arial" w:eastAsia="Calibri" w:hAnsi="Arial" w:cs="Arial"/>
          <w:b/>
          <w:bCs/>
          <w:i/>
          <w:iCs/>
          <w:sz w:val="20"/>
          <w:szCs w:val="20"/>
        </w:rPr>
        <w:t>b)</w:t>
      </w:r>
      <w:r w:rsidRPr="005B01D6">
        <w:rPr>
          <w:rFonts w:ascii="Arial" w:eastAsia="Calibri" w:hAnsi="Arial" w:cs="Arial"/>
          <w:i/>
          <w:iCs/>
          <w:sz w:val="20"/>
          <w:szCs w:val="20"/>
        </w:rPr>
        <w:t xml:space="preserve"> Being disclosed in another patent application with an earlier filing date or priority date but published on or after the filing date, or priority date of that patent application.”</w:t>
      </w:r>
    </w:p>
    <w:p w14:paraId="18778849" w14:textId="77777777" w:rsidR="005B01D6" w:rsidRPr="005B01D6" w:rsidRDefault="005B01D6" w:rsidP="005B01D6">
      <w:pPr>
        <w:spacing w:after="0" w:line="240" w:lineRule="auto"/>
        <w:jc w:val="both"/>
        <w:rPr>
          <w:rFonts w:ascii="Arial" w:eastAsia="Calibri" w:hAnsi="Arial" w:cs="Arial"/>
          <w:sz w:val="20"/>
          <w:szCs w:val="20"/>
        </w:rPr>
      </w:pPr>
    </w:p>
    <w:p w14:paraId="3CB410F1" w14:textId="77777777" w:rsidR="005B01D6" w:rsidRPr="005B01D6" w:rsidRDefault="005B01D6" w:rsidP="005B01D6">
      <w:pPr>
        <w:spacing w:after="0" w:line="240" w:lineRule="auto"/>
        <w:jc w:val="both"/>
        <w:rPr>
          <w:rFonts w:ascii="Arial" w:hAnsi="Arial" w:cs="Arial"/>
          <w:b/>
          <w:bCs/>
          <w:color w:val="0070C0"/>
          <w:sz w:val="20"/>
          <w:szCs w:val="20"/>
        </w:rPr>
      </w:pPr>
      <w:r w:rsidRPr="005B01D6">
        <w:rPr>
          <w:rFonts w:ascii="Arial" w:hAnsi="Arial" w:cs="Arial"/>
          <w:b/>
          <w:bCs/>
          <w:color w:val="0070C0"/>
          <w:sz w:val="20"/>
          <w:szCs w:val="20"/>
        </w:rPr>
        <w:t>4. Cancellation of Granted Patents in Vietnam</w:t>
      </w:r>
    </w:p>
    <w:p w14:paraId="62FABEC5" w14:textId="77777777" w:rsidR="005B01D6" w:rsidRPr="005B01D6" w:rsidRDefault="005B01D6" w:rsidP="005B01D6">
      <w:pPr>
        <w:spacing w:after="0" w:line="240" w:lineRule="auto"/>
        <w:jc w:val="both"/>
        <w:rPr>
          <w:rFonts w:ascii="Arial" w:eastAsia="Calibri" w:hAnsi="Arial" w:cs="Arial"/>
          <w:sz w:val="20"/>
          <w:szCs w:val="20"/>
        </w:rPr>
      </w:pPr>
    </w:p>
    <w:p w14:paraId="487587DF"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 xml:space="preserve">In fact, a protection title’s validity may be cancelled in whole or in part. Although the opening part of Clause 1, Article 95 of the 2005 IP Law mentioned the </w:t>
      </w:r>
      <w:r w:rsidRPr="005B01D6">
        <w:rPr>
          <w:rFonts w:ascii="Arial" w:eastAsia="Calibri" w:hAnsi="Arial" w:cs="Arial"/>
          <w:bCs/>
          <w:sz w:val="20"/>
          <w:szCs w:val="20"/>
        </w:rPr>
        <w:t>cancellation</w:t>
      </w:r>
      <w:r w:rsidRPr="005B01D6">
        <w:rPr>
          <w:rFonts w:ascii="Arial" w:eastAsia="Calibri" w:hAnsi="Arial" w:cs="Arial"/>
          <w:b/>
          <w:bCs/>
          <w:sz w:val="20"/>
          <w:szCs w:val="20"/>
        </w:rPr>
        <w:t xml:space="preserve"> </w:t>
      </w:r>
      <w:r w:rsidRPr="005B01D6">
        <w:rPr>
          <w:rFonts w:ascii="Arial" w:eastAsia="Calibri" w:hAnsi="Arial" w:cs="Arial"/>
          <w:sz w:val="20"/>
          <w:szCs w:val="20"/>
        </w:rPr>
        <w:t xml:space="preserve">of a granted patent in some cases, it still kept silent as to whether the </w:t>
      </w:r>
      <w:r w:rsidRPr="005B01D6">
        <w:rPr>
          <w:rFonts w:ascii="Arial" w:eastAsia="Calibri" w:hAnsi="Arial" w:cs="Arial"/>
          <w:bCs/>
          <w:sz w:val="20"/>
          <w:szCs w:val="20"/>
        </w:rPr>
        <w:t>cancellation</w:t>
      </w:r>
      <w:r w:rsidRPr="005B01D6">
        <w:rPr>
          <w:rFonts w:ascii="Arial" w:eastAsia="Calibri" w:hAnsi="Arial" w:cs="Arial"/>
          <w:b/>
          <w:bCs/>
          <w:sz w:val="20"/>
          <w:szCs w:val="20"/>
        </w:rPr>
        <w:t xml:space="preserve"> </w:t>
      </w:r>
      <w:r w:rsidRPr="005B01D6">
        <w:rPr>
          <w:rFonts w:ascii="Arial" w:eastAsia="Calibri" w:hAnsi="Arial" w:cs="Arial"/>
          <w:sz w:val="20"/>
          <w:szCs w:val="20"/>
        </w:rPr>
        <w:t>is subject to the entire patent or only a part of the patent. In order to remedy this situation, Clause 1, Article 95 of the 2022 IP Law has been amended to provide that: a protection title may be cancelled in whole or partly in certain cases.</w:t>
      </w:r>
    </w:p>
    <w:p w14:paraId="5FEA5CF6" w14:textId="77777777" w:rsidR="005B01D6" w:rsidRPr="005B01D6" w:rsidRDefault="005B01D6" w:rsidP="005B01D6">
      <w:pPr>
        <w:spacing w:after="0" w:line="240" w:lineRule="auto"/>
        <w:jc w:val="both"/>
        <w:rPr>
          <w:rFonts w:ascii="Arial" w:eastAsia="Calibri" w:hAnsi="Arial" w:cs="Arial"/>
          <w:sz w:val="20"/>
          <w:szCs w:val="20"/>
        </w:rPr>
      </w:pPr>
    </w:p>
    <w:p w14:paraId="3CFD393C"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Accordingly, the validity of a protection title expires when the state management agency in charge of industrial property rights issues a decision on patent cancellation pursuant to Article 95.1.c (</w:t>
      </w:r>
      <w:r w:rsidRPr="005B01D6">
        <w:rPr>
          <w:rFonts w:ascii="Arial" w:eastAsia="Calibri" w:hAnsi="Arial" w:cs="Arial"/>
          <w:i/>
          <w:sz w:val="20"/>
          <w:szCs w:val="20"/>
        </w:rPr>
        <w:t>the patent holder no longer exists</w:t>
      </w:r>
      <w:r w:rsidRPr="005B01D6">
        <w:rPr>
          <w:rFonts w:ascii="Arial" w:eastAsia="Calibri" w:hAnsi="Arial" w:cs="Arial"/>
          <w:sz w:val="20"/>
          <w:szCs w:val="20"/>
        </w:rPr>
        <w:t>) and when the state management agency in charge of industrial property rights receives a written consent from the proprietor to the cancellation of that right (</w:t>
      </w:r>
      <w:r w:rsidRPr="005B01D6">
        <w:rPr>
          <w:rFonts w:ascii="Arial" w:eastAsia="Calibri" w:hAnsi="Arial" w:cs="Arial"/>
          <w:i/>
          <w:sz w:val="20"/>
          <w:szCs w:val="20"/>
        </w:rPr>
        <w:t>the protection title holder declares to give up industrial property rights</w:t>
      </w:r>
      <w:r w:rsidRPr="005B01D6">
        <w:rPr>
          <w:rFonts w:ascii="Arial" w:eastAsia="Calibri" w:hAnsi="Arial" w:cs="Arial"/>
          <w:sz w:val="20"/>
          <w:szCs w:val="20"/>
        </w:rPr>
        <w:t>).</w:t>
      </w:r>
    </w:p>
    <w:p w14:paraId="598993E7" w14:textId="77777777" w:rsidR="005B01D6" w:rsidRPr="005B01D6" w:rsidRDefault="005B01D6" w:rsidP="005B01D6">
      <w:pPr>
        <w:spacing w:after="0" w:line="240" w:lineRule="auto"/>
        <w:jc w:val="both"/>
        <w:rPr>
          <w:rFonts w:ascii="Arial" w:eastAsia="Calibri" w:hAnsi="Arial" w:cs="Arial"/>
          <w:sz w:val="20"/>
          <w:szCs w:val="20"/>
        </w:rPr>
      </w:pPr>
    </w:p>
    <w:p w14:paraId="0DFBEE58" w14:textId="77777777" w:rsidR="005B01D6" w:rsidRPr="005B01D6" w:rsidRDefault="005B01D6" w:rsidP="005B01D6">
      <w:pPr>
        <w:spacing w:after="0" w:line="240" w:lineRule="auto"/>
        <w:jc w:val="both"/>
        <w:rPr>
          <w:rFonts w:ascii="Arial" w:hAnsi="Arial" w:cs="Arial"/>
          <w:b/>
          <w:bCs/>
          <w:color w:val="0070C0"/>
          <w:sz w:val="20"/>
          <w:szCs w:val="20"/>
        </w:rPr>
      </w:pPr>
      <w:r w:rsidRPr="005B01D6">
        <w:rPr>
          <w:rFonts w:ascii="Arial" w:hAnsi="Arial" w:cs="Arial"/>
          <w:b/>
          <w:bCs/>
          <w:color w:val="0070C0"/>
          <w:sz w:val="20"/>
          <w:szCs w:val="20"/>
        </w:rPr>
        <w:t>5. Invalidation of Granted Patents in Vietnam</w:t>
      </w:r>
    </w:p>
    <w:p w14:paraId="14F36F40" w14:textId="77777777" w:rsidR="005B01D6" w:rsidRPr="005B01D6" w:rsidRDefault="005B01D6" w:rsidP="005B01D6">
      <w:pPr>
        <w:spacing w:after="0" w:line="240" w:lineRule="auto"/>
        <w:jc w:val="both"/>
        <w:rPr>
          <w:rFonts w:ascii="Arial" w:eastAsia="Calibri" w:hAnsi="Arial" w:cs="Arial"/>
          <w:sz w:val="20"/>
          <w:szCs w:val="20"/>
        </w:rPr>
      </w:pPr>
    </w:p>
    <w:p w14:paraId="59FFB673"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 xml:space="preserve">The 2005 IP Law lacks some grounds to invalidate a granted patent and does not provide for cases where the patent application fails to fully disclose, or discloses, but </w:t>
      </w:r>
      <w:r w:rsidRPr="005B01D6">
        <w:rPr>
          <w:rFonts w:ascii="Arial" w:eastAsia="Calibri" w:hAnsi="Arial" w:cs="Arial"/>
          <w:color w:val="222222"/>
          <w:sz w:val="20"/>
          <w:szCs w:val="20"/>
          <w:shd w:val="clear" w:color="auto" w:fill="FFFFFF"/>
        </w:rPr>
        <w:t>inaccurate</w:t>
      </w:r>
      <w:r w:rsidRPr="005B01D6">
        <w:rPr>
          <w:rFonts w:ascii="Arial" w:eastAsia="Calibri" w:hAnsi="Arial" w:cs="Arial"/>
          <w:sz w:val="20"/>
          <w:szCs w:val="20"/>
        </w:rPr>
        <w:t xml:space="preserve"> information related to the invention; or claims exceed disclosure. This results in the absence of a legal basis for the relevant parties to request IP VIETNAM to invalidate a granted Patent and the prolonged backlog of requests for patent invalidation due to the lack of specificity in the applicable law.</w:t>
      </w:r>
    </w:p>
    <w:p w14:paraId="42074F91" w14:textId="77777777" w:rsidR="005B01D6" w:rsidRPr="005B01D6" w:rsidRDefault="005B01D6" w:rsidP="005B01D6">
      <w:pPr>
        <w:spacing w:after="0" w:line="240" w:lineRule="auto"/>
        <w:jc w:val="both"/>
        <w:rPr>
          <w:rFonts w:ascii="Arial" w:eastAsia="Calibri" w:hAnsi="Arial" w:cs="Arial"/>
          <w:sz w:val="20"/>
          <w:szCs w:val="20"/>
        </w:rPr>
      </w:pPr>
    </w:p>
    <w:p w14:paraId="2D8435D5"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 xml:space="preserve">To remedy this situation, the 2022 IP Law has laid down separate regulations to establish a legal basis for wholly or partially invalidating a granted Patent. </w:t>
      </w:r>
    </w:p>
    <w:p w14:paraId="44120325" w14:textId="77777777" w:rsidR="005B01D6" w:rsidRPr="005B01D6" w:rsidRDefault="005B01D6" w:rsidP="005B01D6">
      <w:pPr>
        <w:spacing w:after="0" w:line="240" w:lineRule="auto"/>
        <w:jc w:val="both"/>
        <w:rPr>
          <w:rFonts w:ascii="Arial" w:eastAsia="Calibri" w:hAnsi="Arial" w:cs="Arial"/>
          <w:sz w:val="20"/>
          <w:szCs w:val="20"/>
        </w:rPr>
      </w:pPr>
    </w:p>
    <w:tbl>
      <w:tblPr>
        <w:tblStyle w:val="TableGrid"/>
        <w:tblW w:w="0" w:type="auto"/>
        <w:tblInd w:w="108"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ayout w:type="fixed"/>
        <w:tblLook w:val="04A0" w:firstRow="1" w:lastRow="0" w:firstColumn="1" w:lastColumn="0" w:noHBand="0" w:noVBand="1"/>
      </w:tblPr>
      <w:tblGrid>
        <w:gridCol w:w="2497"/>
        <w:gridCol w:w="7142"/>
      </w:tblGrid>
      <w:tr w:rsidR="005B01D6" w:rsidRPr="005B01D6" w14:paraId="709DDE4A" w14:textId="77777777" w:rsidTr="00287D85">
        <w:trPr>
          <w:trHeight w:val="1538"/>
        </w:trPr>
        <w:tc>
          <w:tcPr>
            <w:tcW w:w="2497" w:type="dxa"/>
          </w:tcPr>
          <w:p w14:paraId="020F8952"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sz w:val="20"/>
                <w:szCs w:val="20"/>
              </w:rPr>
              <w:t xml:space="preserve">Patent invalidation </w:t>
            </w:r>
          </w:p>
          <w:p w14:paraId="2913D154"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b/>
                <w:sz w:val="20"/>
                <w:szCs w:val="20"/>
              </w:rPr>
              <w:t>in whole</w:t>
            </w:r>
          </w:p>
          <w:p w14:paraId="78524261" w14:textId="77777777" w:rsidR="005B01D6" w:rsidRPr="005B01D6" w:rsidRDefault="005B01D6" w:rsidP="005B01D6">
            <w:pPr>
              <w:jc w:val="both"/>
              <w:rPr>
                <w:rFonts w:ascii="Arial" w:eastAsia="Calibri" w:hAnsi="Arial" w:cs="Arial"/>
                <w:sz w:val="20"/>
                <w:szCs w:val="20"/>
              </w:rPr>
            </w:pPr>
          </w:p>
          <w:p w14:paraId="06C9834B" w14:textId="77777777" w:rsidR="005B01D6" w:rsidRPr="005B01D6" w:rsidRDefault="005B01D6" w:rsidP="005B01D6">
            <w:pPr>
              <w:jc w:val="both"/>
              <w:rPr>
                <w:rFonts w:ascii="Arial" w:eastAsia="Calibri" w:hAnsi="Arial" w:cs="Arial"/>
                <w:b/>
                <w:bCs/>
                <w:sz w:val="20"/>
                <w:szCs w:val="20"/>
              </w:rPr>
            </w:pPr>
            <w:r w:rsidRPr="005B01D6">
              <w:rPr>
                <w:rFonts w:ascii="Arial" w:eastAsia="Calibri" w:hAnsi="Arial" w:cs="Arial"/>
                <w:sz w:val="20"/>
                <w:szCs w:val="20"/>
              </w:rPr>
              <w:t>(</w:t>
            </w:r>
            <w:r w:rsidRPr="005B01D6">
              <w:rPr>
                <w:rFonts w:ascii="Arial" w:eastAsia="Calibri" w:hAnsi="Arial" w:cs="Arial"/>
                <w:b/>
                <w:sz w:val="20"/>
                <w:szCs w:val="20"/>
              </w:rPr>
              <w:t>2 cases</w:t>
            </w:r>
            <w:r w:rsidRPr="005B01D6">
              <w:rPr>
                <w:rFonts w:ascii="Arial" w:eastAsia="Calibri" w:hAnsi="Arial" w:cs="Arial"/>
                <w:sz w:val="20"/>
                <w:szCs w:val="20"/>
              </w:rPr>
              <w:t>)</w:t>
            </w:r>
          </w:p>
        </w:tc>
        <w:tc>
          <w:tcPr>
            <w:tcW w:w="7142" w:type="dxa"/>
          </w:tcPr>
          <w:p w14:paraId="7BBE980E" w14:textId="77777777" w:rsidR="005B01D6" w:rsidRPr="005B01D6" w:rsidRDefault="005B01D6" w:rsidP="005B01D6">
            <w:pPr>
              <w:numPr>
                <w:ilvl w:val="0"/>
                <w:numId w:val="11"/>
              </w:numPr>
              <w:jc w:val="both"/>
              <w:rPr>
                <w:rFonts w:ascii="Arial" w:eastAsia="Calibri" w:hAnsi="Arial" w:cs="Arial"/>
                <w:sz w:val="20"/>
                <w:szCs w:val="20"/>
              </w:rPr>
            </w:pPr>
            <w:r w:rsidRPr="005B01D6">
              <w:rPr>
                <w:rFonts w:ascii="Arial" w:eastAsia="Calibri" w:hAnsi="Arial" w:cs="Arial"/>
                <w:sz w:val="20"/>
                <w:szCs w:val="20"/>
              </w:rPr>
              <w:t>The patent application is filed in violation with the regulations on security control over inventions as specified in Article 89a;</w:t>
            </w:r>
          </w:p>
          <w:p w14:paraId="59DC39AF" w14:textId="77777777" w:rsidR="005B01D6" w:rsidRPr="005B01D6" w:rsidRDefault="005B01D6" w:rsidP="005B01D6">
            <w:pPr>
              <w:numPr>
                <w:ilvl w:val="0"/>
                <w:numId w:val="11"/>
              </w:numPr>
              <w:jc w:val="both"/>
              <w:rPr>
                <w:rFonts w:ascii="Arial" w:eastAsia="Calibri" w:hAnsi="Arial" w:cs="Arial"/>
                <w:sz w:val="20"/>
                <w:szCs w:val="20"/>
              </w:rPr>
            </w:pPr>
            <w:r w:rsidRPr="005B01D6">
              <w:rPr>
                <w:rFonts w:ascii="Arial" w:eastAsia="Calibri" w:hAnsi="Arial" w:cs="Arial"/>
                <w:sz w:val="20"/>
                <w:szCs w:val="20"/>
              </w:rPr>
              <w:t>The patent application which is directly created on the ground of genetic resources or traditional knowledge associated with genetic resources but fails to disclose or incorrectly discloses the origin of genetic resources or traditional knowledge associated with the genetic resources pertained in such application.</w:t>
            </w:r>
          </w:p>
        </w:tc>
      </w:tr>
      <w:tr w:rsidR="005B01D6" w:rsidRPr="005B01D6" w14:paraId="19284F1B" w14:textId="77777777" w:rsidTr="00287D85">
        <w:tc>
          <w:tcPr>
            <w:tcW w:w="2497" w:type="dxa"/>
          </w:tcPr>
          <w:p w14:paraId="7365B66A"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sz w:val="20"/>
                <w:szCs w:val="20"/>
              </w:rPr>
              <w:t xml:space="preserve">Patent invalidation </w:t>
            </w:r>
            <w:r w:rsidRPr="005B01D6">
              <w:rPr>
                <w:rFonts w:ascii="Arial" w:eastAsia="Calibri" w:hAnsi="Arial" w:cs="Arial"/>
                <w:b/>
                <w:sz w:val="20"/>
                <w:szCs w:val="20"/>
              </w:rPr>
              <w:t>in whole</w:t>
            </w:r>
            <w:r w:rsidRPr="005B01D6">
              <w:rPr>
                <w:rFonts w:ascii="Arial" w:eastAsia="Calibri" w:hAnsi="Arial" w:cs="Arial"/>
                <w:sz w:val="20"/>
                <w:szCs w:val="20"/>
              </w:rPr>
              <w:t xml:space="preserve"> or </w:t>
            </w:r>
            <w:r w:rsidRPr="005B01D6">
              <w:rPr>
                <w:rFonts w:ascii="Arial" w:eastAsia="Calibri" w:hAnsi="Arial" w:cs="Arial"/>
                <w:b/>
                <w:sz w:val="20"/>
                <w:szCs w:val="20"/>
              </w:rPr>
              <w:t xml:space="preserve">in part </w:t>
            </w:r>
            <w:r w:rsidRPr="005B01D6">
              <w:rPr>
                <w:rFonts w:ascii="Arial" w:eastAsia="Calibri" w:hAnsi="Arial" w:cs="Arial"/>
                <w:sz w:val="20"/>
                <w:szCs w:val="20"/>
              </w:rPr>
              <w:t>if the whole or part of such title does not satisfy the provisions on registration rights, protection conditions, amendments to applications, disclosure of inventions, first-to-file principle</w:t>
            </w:r>
          </w:p>
          <w:p w14:paraId="2013F22D" w14:textId="77777777" w:rsidR="005B01D6" w:rsidRPr="005B01D6" w:rsidRDefault="005B01D6" w:rsidP="005B01D6">
            <w:pPr>
              <w:jc w:val="both"/>
              <w:rPr>
                <w:rFonts w:ascii="Arial" w:eastAsia="Calibri" w:hAnsi="Arial" w:cs="Arial"/>
                <w:sz w:val="20"/>
                <w:szCs w:val="20"/>
              </w:rPr>
            </w:pPr>
          </w:p>
          <w:p w14:paraId="383E70F4" w14:textId="77777777" w:rsidR="005B01D6" w:rsidRPr="005B01D6" w:rsidRDefault="005B01D6" w:rsidP="005B01D6">
            <w:pPr>
              <w:jc w:val="both"/>
              <w:rPr>
                <w:rFonts w:ascii="Arial" w:eastAsia="Calibri" w:hAnsi="Arial" w:cs="Arial"/>
                <w:b/>
                <w:bCs/>
                <w:sz w:val="20"/>
                <w:szCs w:val="20"/>
              </w:rPr>
            </w:pPr>
            <w:r w:rsidRPr="005B01D6">
              <w:rPr>
                <w:rFonts w:ascii="Arial" w:eastAsia="Calibri" w:hAnsi="Arial" w:cs="Arial"/>
                <w:sz w:val="20"/>
                <w:szCs w:val="20"/>
              </w:rPr>
              <w:t>(</w:t>
            </w:r>
            <w:r w:rsidRPr="005B01D6">
              <w:rPr>
                <w:rFonts w:ascii="Arial" w:eastAsia="Calibri" w:hAnsi="Arial" w:cs="Arial"/>
                <w:b/>
                <w:sz w:val="20"/>
                <w:szCs w:val="20"/>
              </w:rPr>
              <w:t>6 cases</w:t>
            </w:r>
            <w:r w:rsidRPr="005B01D6">
              <w:rPr>
                <w:rFonts w:ascii="Arial" w:eastAsia="Calibri" w:hAnsi="Arial" w:cs="Arial"/>
                <w:sz w:val="20"/>
                <w:szCs w:val="20"/>
              </w:rPr>
              <w:t>)</w:t>
            </w:r>
          </w:p>
        </w:tc>
        <w:tc>
          <w:tcPr>
            <w:tcW w:w="7142" w:type="dxa"/>
          </w:tcPr>
          <w:p w14:paraId="4E801ADB" w14:textId="77777777" w:rsidR="005B01D6" w:rsidRPr="005B01D6" w:rsidRDefault="005B01D6" w:rsidP="005B01D6">
            <w:pPr>
              <w:numPr>
                <w:ilvl w:val="0"/>
                <w:numId w:val="10"/>
              </w:numPr>
              <w:shd w:val="solid" w:color="FFFFFF" w:fill="auto"/>
              <w:jc w:val="both"/>
              <w:rPr>
                <w:rFonts w:ascii="Arial" w:eastAsia="Calibri" w:hAnsi="Arial" w:cs="Arial"/>
                <w:sz w:val="20"/>
                <w:szCs w:val="20"/>
              </w:rPr>
            </w:pPr>
            <w:r w:rsidRPr="005B01D6">
              <w:rPr>
                <w:rFonts w:ascii="Arial" w:eastAsia="Calibri" w:hAnsi="Arial" w:cs="Arial"/>
                <w:sz w:val="20"/>
                <w:szCs w:val="20"/>
              </w:rPr>
              <w:t>The applicant neither has right to register the invention nor being assigned such right;</w:t>
            </w:r>
          </w:p>
          <w:p w14:paraId="239311B6" w14:textId="77777777" w:rsidR="005B01D6" w:rsidRPr="005B01D6" w:rsidRDefault="005B01D6" w:rsidP="005B01D6">
            <w:pPr>
              <w:numPr>
                <w:ilvl w:val="0"/>
                <w:numId w:val="10"/>
              </w:numPr>
              <w:shd w:val="solid" w:color="FFFFFF" w:fill="auto"/>
              <w:jc w:val="both"/>
              <w:rPr>
                <w:rFonts w:ascii="Arial" w:eastAsia="Calibri" w:hAnsi="Arial" w:cs="Arial"/>
                <w:sz w:val="20"/>
                <w:szCs w:val="20"/>
              </w:rPr>
            </w:pPr>
            <w:r w:rsidRPr="005B01D6">
              <w:rPr>
                <w:rFonts w:ascii="Arial" w:eastAsia="Calibri" w:hAnsi="Arial" w:cs="Arial"/>
                <w:sz w:val="20"/>
                <w:szCs w:val="20"/>
              </w:rPr>
              <w:t>The invention does not satisfy the protection conditions specified in Article 8 (contrary to social morality and public order, harmful to national defense and security) and Chapter VII (does not meet the protection criteria, namely, novelty, inventive step, and industrial applicability);</w:t>
            </w:r>
          </w:p>
          <w:p w14:paraId="5C1B37E6" w14:textId="77777777" w:rsidR="005B01D6" w:rsidRPr="005B01D6" w:rsidRDefault="005B01D6" w:rsidP="005B01D6">
            <w:pPr>
              <w:numPr>
                <w:ilvl w:val="0"/>
                <w:numId w:val="10"/>
              </w:numPr>
              <w:shd w:val="solid" w:color="FFFFFF" w:fill="auto"/>
              <w:jc w:val="both"/>
              <w:rPr>
                <w:rFonts w:ascii="Arial" w:eastAsia="Calibri" w:hAnsi="Arial" w:cs="Arial"/>
                <w:sz w:val="20"/>
                <w:szCs w:val="20"/>
              </w:rPr>
            </w:pPr>
            <w:r w:rsidRPr="005B01D6">
              <w:rPr>
                <w:rFonts w:ascii="Arial" w:eastAsia="Calibri" w:hAnsi="Arial" w:cs="Arial"/>
                <w:sz w:val="20"/>
                <w:szCs w:val="20"/>
              </w:rPr>
              <w:t>Amendments and supplements to a patent application go beyond the scope of the subject matters disclosed or stated in the application or change the nature of the claimed subject matters;</w:t>
            </w:r>
          </w:p>
          <w:p w14:paraId="1B3C6905" w14:textId="77777777" w:rsidR="005B01D6" w:rsidRPr="005B01D6" w:rsidRDefault="005B01D6" w:rsidP="005B01D6">
            <w:pPr>
              <w:numPr>
                <w:ilvl w:val="0"/>
                <w:numId w:val="10"/>
              </w:numPr>
              <w:shd w:val="solid" w:color="FFFFFF" w:fill="auto"/>
              <w:jc w:val="both"/>
              <w:rPr>
                <w:rFonts w:ascii="Arial" w:eastAsia="Calibri" w:hAnsi="Arial" w:cs="Arial"/>
                <w:sz w:val="20"/>
                <w:szCs w:val="20"/>
              </w:rPr>
            </w:pPr>
            <w:r w:rsidRPr="005B01D6">
              <w:rPr>
                <w:rFonts w:ascii="Arial" w:eastAsia="Calibri" w:hAnsi="Arial" w:cs="Arial"/>
                <w:sz w:val="20"/>
                <w:szCs w:val="20"/>
              </w:rPr>
              <w:t>The invention has not been disclosed in a full and clear manner to enable the invention to be carried out by a person with average skill in the art;</w:t>
            </w:r>
          </w:p>
          <w:p w14:paraId="77959EF5" w14:textId="77777777" w:rsidR="005B01D6" w:rsidRPr="005B01D6" w:rsidRDefault="005B01D6" w:rsidP="005B01D6">
            <w:pPr>
              <w:numPr>
                <w:ilvl w:val="0"/>
                <w:numId w:val="10"/>
              </w:numPr>
              <w:shd w:val="solid" w:color="FFFFFF" w:fill="auto"/>
              <w:jc w:val="both"/>
              <w:rPr>
                <w:rFonts w:ascii="Roboto" w:eastAsia="Times New Roman" w:hAnsi="Roboto" w:cs="Times New Roman"/>
                <w:color w:val="333333"/>
                <w:sz w:val="23"/>
                <w:szCs w:val="23"/>
              </w:rPr>
            </w:pPr>
            <w:r w:rsidRPr="005B01D6">
              <w:rPr>
                <w:rFonts w:ascii="Arial" w:eastAsia="Calibri" w:hAnsi="Arial" w:cs="Arial"/>
                <w:sz w:val="20"/>
                <w:szCs w:val="20"/>
              </w:rPr>
              <w:t>Patented inventions go beyond the scope of disclosure as specified in its original specification</w:t>
            </w:r>
          </w:p>
          <w:p w14:paraId="42001B68" w14:textId="77777777" w:rsidR="005B01D6" w:rsidRPr="005B01D6" w:rsidRDefault="005B01D6" w:rsidP="005B01D6">
            <w:pPr>
              <w:numPr>
                <w:ilvl w:val="0"/>
                <w:numId w:val="10"/>
              </w:numPr>
              <w:shd w:val="solid" w:color="FFFFFF" w:fill="auto"/>
              <w:jc w:val="both"/>
              <w:rPr>
                <w:rFonts w:ascii="Arial" w:eastAsia="Calibri" w:hAnsi="Arial" w:cs="Arial"/>
                <w:sz w:val="20"/>
                <w:szCs w:val="20"/>
              </w:rPr>
            </w:pPr>
            <w:r w:rsidRPr="005B01D6">
              <w:rPr>
                <w:rFonts w:ascii="Arial" w:eastAsia="Calibri" w:hAnsi="Arial" w:cs="Arial"/>
                <w:sz w:val="20"/>
                <w:szCs w:val="20"/>
              </w:rPr>
              <w:t>Patented inventions do not satisfy the first-to-file specified in Article 90.</w:t>
            </w:r>
          </w:p>
        </w:tc>
      </w:tr>
    </w:tbl>
    <w:p w14:paraId="3A6F8EFC" w14:textId="77777777" w:rsidR="005B01D6" w:rsidRPr="005B01D6" w:rsidRDefault="005B01D6" w:rsidP="005B01D6">
      <w:pPr>
        <w:spacing w:after="0" w:line="240" w:lineRule="auto"/>
        <w:jc w:val="both"/>
        <w:rPr>
          <w:rFonts w:ascii="Arial" w:eastAsia="Calibri" w:hAnsi="Arial" w:cs="Arial"/>
          <w:sz w:val="20"/>
          <w:szCs w:val="20"/>
        </w:rPr>
      </w:pPr>
    </w:p>
    <w:p w14:paraId="64CD1AA8" w14:textId="03362F18" w:rsidR="005B01D6" w:rsidRPr="005B01D6" w:rsidRDefault="005B01D6" w:rsidP="005B01D6">
      <w:pPr>
        <w:spacing w:after="0" w:line="240" w:lineRule="auto"/>
        <w:jc w:val="both"/>
        <w:rPr>
          <w:rFonts w:ascii="Arial" w:eastAsia="Calibri" w:hAnsi="Arial" w:cs="Arial"/>
          <w:sz w:val="20"/>
          <w:szCs w:val="20"/>
        </w:rPr>
      </w:pPr>
      <w:proofErr w:type="gramStart"/>
      <w:r w:rsidRPr="005B01D6">
        <w:rPr>
          <w:rFonts w:ascii="Arial" w:eastAsia="Calibri" w:hAnsi="Arial" w:cs="Arial"/>
          <w:sz w:val="20"/>
          <w:szCs w:val="20"/>
        </w:rPr>
        <w:t xml:space="preserve">Article 96.3 of the 2022 IP Law supplements the provisions for determining the validity of a patented </w:t>
      </w:r>
      <w:r w:rsidRPr="005B01D6">
        <w:rPr>
          <w:rFonts w:ascii="Arial" w:eastAsia="Calibri" w:hAnsi="Arial" w:cs="Arial"/>
          <w:color w:val="202124"/>
          <w:sz w:val="20"/>
          <w:szCs w:val="20"/>
          <w:shd w:val="clear" w:color="auto" w:fill="F1F3F4"/>
        </w:rPr>
        <w:t>invention</w:t>
      </w:r>
      <w:r w:rsidRPr="005B01D6">
        <w:rPr>
          <w:rFonts w:ascii="Arial" w:eastAsia="Calibri" w:hAnsi="Arial" w:cs="Arial"/>
          <w:sz w:val="20"/>
          <w:szCs w:val="20"/>
        </w:rPr>
        <w:t xml:space="preserve"> in the event of partial or whole invalidation.</w:t>
      </w:r>
      <w:proofErr w:type="gramEnd"/>
      <w:r w:rsidRPr="005B01D6">
        <w:rPr>
          <w:rFonts w:ascii="Arial" w:eastAsia="Calibri" w:hAnsi="Arial" w:cs="Arial"/>
          <w:sz w:val="20"/>
          <w:szCs w:val="20"/>
        </w:rPr>
        <w:t xml:space="preserve"> Accordingly, when the validity of the patented invention </w:t>
      </w:r>
      <w:r w:rsidRPr="005B01D6">
        <w:rPr>
          <w:rFonts w:ascii="Arial" w:eastAsia="Calibri" w:hAnsi="Arial" w:cs="Arial"/>
          <w:sz w:val="20"/>
          <w:szCs w:val="20"/>
        </w:rPr>
        <w:lastRenderedPageBreak/>
        <w:t>shall be in whole or in part, such invalidated whole or part of the patent shall not take effect from the time of grant of the Letters Patent.</w:t>
      </w:r>
    </w:p>
    <w:p w14:paraId="2B849951" w14:textId="50B95980" w:rsidR="005B01D6" w:rsidRPr="005B01D6" w:rsidRDefault="001D7359" w:rsidP="005B01D6">
      <w:pPr>
        <w:spacing w:after="0" w:line="240" w:lineRule="auto"/>
        <w:jc w:val="both"/>
        <w:rPr>
          <w:rFonts w:ascii="Arial" w:eastAsia="Calibri" w:hAnsi="Arial" w:cs="Arial"/>
          <w:b/>
          <w:bCs/>
          <w:sz w:val="20"/>
          <w:szCs w:val="20"/>
        </w:rPr>
      </w:pPr>
      <w:r w:rsidRPr="00A451ED">
        <w:rPr>
          <w:rFonts w:ascii="Arial" w:hAnsi="Arial" w:cs="Arial"/>
          <w:bCs/>
          <w:noProof/>
          <w:color w:val="C00000"/>
          <w:sz w:val="24"/>
          <w:szCs w:val="24"/>
          <w:lang w:eastAsia="ko-KR"/>
        </w:rPr>
        <mc:AlternateContent>
          <mc:Choice Requires="wps">
            <w:drawing>
              <wp:anchor distT="0" distB="0" distL="114300" distR="114300" simplePos="0" relativeHeight="251671552" behindDoc="0" locked="0" layoutInCell="1" allowOverlap="1" wp14:anchorId="00699E2C" wp14:editId="17061FA8">
                <wp:simplePos x="0" y="0"/>
                <wp:positionH relativeFrom="column">
                  <wp:posOffset>6347460</wp:posOffset>
                </wp:positionH>
                <wp:positionV relativeFrom="paragraph">
                  <wp:posOffset>-888365</wp:posOffset>
                </wp:positionV>
                <wp:extent cx="323850" cy="105727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795A88" w14:textId="77777777" w:rsidR="001D7359" w:rsidRDefault="001D7359" w:rsidP="001D7359">
                            <w:pPr>
                              <w:spacing w:after="0" w:line="240" w:lineRule="auto"/>
                              <w:jc w:val="center"/>
                              <w:rPr>
                                <w:rFonts w:ascii="Arial" w:hAnsi="Arial" w:cs="Arial"/>
                                <w:color w:val="FFFFFF" w:themeColor="background1"/>
                              </w:rPr>
                            </w:pPr>
                          </w:p>
                          <w:p w14:paraId="2A92FF88" w14:textId="77777777" w:rsidR="001D7359" w:rsidRPr="00454E68" w:rsidRDefault="001D7359" w:rsidP="001D7359">
                            <w:pPr>
                              <w:spacing w:after="0" w:line="240" w:lineRule="auto"/>
                              <w:jc w:val="center"/>
                              <w:rPr>
                                <w:rFonts w:ascii="Arial" w:hAnsi="Arial" w:cs="Arial"/>
                                <w:color w:val="FFFFFF" w:themeColor="background1"/>
                                <w:sz w:val="18"/>
                                <w:szCs w:val="18"/>
                              </w:rPr>
                            </w:pPr>
                          </w:p>
                          <w:p w14:paraId="6461BC00" w14:textId="77777777" w:rsidR="001D7359" w:rsidRPr="001D7359" w:rsidRDefault="001D7359" w:rsidP="001D7359">
                            <w:pPr>
                              <w:spacing w:after="0" w:line="240" w:lineRule="auto"/>
                              <w:rPr>
                                <w:rFonts w:ascii="Arial" w:hAnsi="Arial" w:cs="Arial"/>
                                <w:b/>
                                <w:color w:val="FFFFFF" w:themeColor="background1"/>
                                <w:sz w:val="20"/>
                                <w:szCs w:val="20"/>
                              </w:rPr>
                            </w:pPr>
                            <w:r w:rsidRPr="00454E68">
                              <w:rPr>
                                <w:rFonts w:ascii="Arial" w:hAnsi="Arial" w:cs="Arial"/>
                                <w:color w:val="FFFFFF" w:themeColor="background1"/>
                                <w:sz w:val="18"/>
                                <w:szCs w:val="18"/>
                              </w:rPr>
                              <w:t xml:space="preserve">            </w:t>
                            </w:r>
                            <w:r w:rsidRPr="001D7359">
                              <w:rPr>
                                <w:rFonts w:ascii="Arial" w:hAnsi="Arial" w:cs="Arial"/>
                                <w:b/>
                                <w:color w:val="FFFFFF" w:themeColor="background1"/>
                                <w:sz w:val="20"/>
                                <w:szCs w:val="20"/>
                              </w:rPr>
                              <w:t>Patent in Vietnam</w:t>
                            </w:r>
                          </w:p>
                          <w:p w14:paraId="147643AA" w14:textId="77777777" w:rsidR="001D7359" w:rsidRDefault="001D7359" w:rsidP="001D7359">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0" style="position:absolute;left:0;text-align:left;margin-left:499.8pt;margin-top:-69.95pt;width:25.5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" fillcolor="#00b39c" strokecolor="#00b39c" strokeweight="1pt">
                <v:textbox style="layout-flow:vertical">
                  <w:txbxContent>
                    <w:p w14:paraId="60795A88" w14:textId="77777777" w:rsidR="001D7359" w:rsidRDefault="001D7359" w:rsidP="001D7359">
                      <w:pPr>
                        <w:spacing w:after="0" w:line="240" w:lineRule="auto"/>
                        <w:jc w:val="center"/>
                        <w:rPr>
                          <w:rFonts w:ascii="Arial" w:hAnsi="Arial" w:cs="Arial"/>
                          <w:color w:val="FFFFFF" w:themeColor="background1"/>
                        </w:rPr>
                      </w:pPr>
                    </w:p>
                    <w:p w14:paraId="2A92FF88" w14:textId="77777777" w:rsidR="001D7359" w:rsidRPr="00454E68" w:rsidRDefault="001D7359" w:rsidP="001D7359">
                      <w:pPr>
                        <w:spacing w:after="0" w:line="240" w:lineRule="auto"/>
                        <w:jc w:val="center"/>
                        <w:rPr>
                          <w:rFonts w:ascii="Arial" w:hAnsi="Arial" w:cs="Arial"/>
                          <w:color w:val="FFFFFF" w:themeColor="background1"/>
                          <w:sz w:val="18"/>
                          <w:szCs w:val="18"/>
                        </w:rPr>
                      </w:pPr>
                    </w:p>
                    <w:p w14:paraId="6461BC00" w14:textId="77777777" w:rsidR="001D7359" w:rsidRPr="001D7359" w:rsidRDefault="001D7359" w:rsidP="001D7359">
                      <w:pPr>
                        <w:spacing w:after="0" w:line="240" w:lineRule="auto"/>
                        <w:rPr>
                          <w:rFonts w:ascii="Arial" w:hAnsi="Arial" w:cs="Arial"/>
                          <w:b/>
                          <w:color w:val="FFFFFF" w:themeColor="background1"/>
                          <w:sz w:val="20"/>
                          <w:szCs w:val="20"/>
                        </w:rPr>
                      </w:pPr>
                      <w:r w:rsidRPr="00454E68">
                        <w:rPr>
                          <w:rFonts w:ascii="Arial" w:hAnsi="Arial" w:cs="Arial"/>
                          <w:color w:val="FFFFFF" w:themeColor="background1"/>
                          <w:sz w:val="18"/>
                          <w:szCs w:val="18"/>
                        </w:rPr>
                        <w:t xml:space="preserve">            </w:t>
                      </w:r>
                      <w:r w:rsidRPr="001D7359">
                        <w:rPr>
                          <w:rFonts w:ascii="Arial" w:hAnsi="Arial" w:cs="Arial"/>
                          <w:b/>
                          <w:color w:val="FFFFFF" w:themeColor="background1"/>
                          <w:sz w:val="20"/>
                          <w:szCs w:val="20"/>
                        </w:rPr>
                        <w:t>Patent in Vietnam</w:t>
                      </w:r>
                    </w:p>
                    <w:p w14:paraId="147643AA" w14:textId="77777777" w:rsidR="001D7359" w:rsidRDefault="001D7359" w:rsidP="001D7359">
                      <w:pPr>
                        <w:jc w:val="center"/>
                      </w:pPr>
                    </w:p>
                  </w:txbxContent>
                </v:textbox>
              </v:rect>
            </w:pict>
          </mc:Fallback>
        </mc:AlternateContent>
      </w:r>
    </w:p>
    <w:p w14:paraId="18FA7CB0" w14:textId="77777777" w:rsidR="005B01D6" w:rsidRPr="005B01D6" w:rsidRDefault="005B01D6" w:rsidP="005B01D6">
      <w:pPr>
        <w:spacing w:after="0" w:line="240" w:lineRule="auto"/>
        <w:jc w:val="both"/>
        <w:rPr>
          <w:rFonts w:ascii="Arial" w:hAnsi="Arial" w:cs="Arial"/>
          <w:b/>
          <w:bCs/>
          <w:color w:val="0070C0"/>
          <w:sz w:val="20"/>
          <w:szCs w:val="20"/>
        </w:rPr>
      </w:pPr>
      <w:r w:rsidRPr="005B01D6">
        <w:rPr>
          <w:rFonts w:ascii="Arial" w:hAnsi="Arial" w:cs="Arial"/>
          <w:b/>
          <w:bCs/>
          <w:color w:val="0070C0"/>
          <w:sz w:val="20"/>
          <w:szCs w:val="20"/>
        </w:rPr>
        <w:t>6. Compensation for patent owners due to delay in granting approval of drugs in Vietnam</w:t>
      </w:r>
    </w:p>
    <w:p w14:paraId="5C8E319F" w14:textId="77777777" w:rsidR="005B01D6" w:rsidRPr="005B01D6" w:rsidRDefault="005B01D6" w:rsidP="005B01D6">
      <w:pPr>
        <w:spacing w:after="0" w:line="240" w:lineRule="auto"/>
        <w:jc w:val="both"/>
        <w:rPr>
          <w:rFonts w:ascii="Arial" w:eastAsia="Calibri" w:hAnsi="Arial" w:cs="Arial"/>
          <w:sz w:val="20"/>
          <w:szCs w:val="20"/>
        </w:rPr>
      </w:pPr>
    </w:p>
    <w:p w14:paraId="561277C1"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Compensation for patent owners due to a delay in granting approval of drugs</w:t>
      </w:r>
      <w:r w:rsidRPr="005B01D6" w:rsidDel="00C32B93">
        <w:rPr>
          <w:rFonts w:ascii="Arial" w:eastAsia="Calibri" w:hAnsi="Arial" w:cs="Arial"/>
          <w:sz w:val="20"/>
          <w:szCs w:val="20"/>
        </w:rPr>
        <w:t xml:space="preserve"> </w:t>
      </w:r>
      <w:r w:rsidRPr="005B01D6">
        <w:rPr>
          <w:rFonts w:ascii="Arial" w:eastAsia="Calibri" w:hAnsi="Arial" w:cs="Arial"/>
          <w:sz w:val="20"/>
          <w:szCs w:val="20"/>
        </w:rPr>
        <w:t xml:space="preserve">is an unprecedented provision in Vietnam's IP law until Vietnam has joined and become a member of the European Union–Vietnam Free Trade Agreement (EVFTA). This new generation agreement obligates Vietnam to have a suitable compensation mechanism for pharmaceutical patent owners when state agencies delay in granting marketing authorization for such pharmaceuticals. To fulfill its obligations under the EVFTA, Vietnam has passed into law the compensation mechanism in Article 131a of the amended IP Law of 2022. </w:t>
      </w:r>
    </w:p>
    <w:p w14:paraId="1D88FC89" w14:textId="77777777" w:rsidR="005B01D6" w:rsidRPr="005B01D6" w:rsidRDefault="005B01D6" w:rsidP="005B01D6">
      <w:pPr>
        <w:spacing w:after="0" w:line="240" w:lineRule="auto"/>
        <w:jc w:val="both"/>
        <w:rPr>
          <w:rFonts w:ascii="Arial" w:eastAsia="Calibri" w:hAnsi="Arial" w:cs="Arial"/>
          <w:sz w:val="20"/>
          <w:szCs w:val="20"/>
        </w:rPr>
      </w:pPr>
    </w:p>
    <w:tbl>
      <w:tblPr>
        <w:tblStyle w:val="TableGrid"/>
        <w:tblW w:w="9639" w:type="dxa"/>
        <w:tblInd w:w="108"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ayout w:type="fixed"/>
        <w:tblLook w:val="04A0" w:firstRow="1" w:lastRow="0" w:firstColumn="1" w:lastColumn="0" w:noHBand="0" w:noVBand="1"/>
      </w:tblPr>
      <w:tblGrid>
        <w:gridCol w:w="517"/>
        <w:gridCol w:w="3960"/>
        <w:gridCol w:w="5162"/>
      </w:tblGrid>
      <w:tr w:rsidR="005B01D6" w:rsidRPr="005B01D6" w14:paraId="4DFE9F21" w14:textId="77777777" w:rsidTr="00287D85">
        <w:tc>
          <w:tcPr>
            <w:tcW w:w="517" w:type="dxa"/>
            <w:shd w:val="pct20" w:color="auto" w:fill="auto"/>
          </w:tcPr>
          <w:p w14:paraId="2B4CC9F2" w14:textId="77777777" w:rsidR="005B01D6" w:rsidRPr="005B01D6" w:rsidRDefault="005B01D6" w:rsidP="005B01D6">
            <w:pPr>
              <w:jc w:val="center"/>
              <w:rPr>
                <w:rFonts w:ascii="Arial" w:eastAsia="Calibri" w:hAnsi="Arial" w:cs="Arial"/>
                <w:b/>
                <w:bCs/>
                <w:sz w:val="20"/>
                <w:szCs w:val="20"/>
              </w:rPr>
            </w:pPr>
            <w:r w:rsidRPr="005B01D6">
              <w:rPr>
                <w:rFonts w:ascii="Arial" w:eastAsia="Calibri" w:hAnsi="Arial" w:cs="Arial"/>
                <w:b/>
                <w:bCs/>
                <w:sz w:val="20"/>
                <w:szCs w:val="20"/>
              </w:rPr>
              <w:t>No</w:t>
            </w:r>
          </w:p>
        </w:tc>
        <w:tc>
          <w:tcPr>
            <w:tcW w:w="3960" w:type="dxa"/>
            <w:shd w:val="pct20" w:color="auto" w:fill="auto"/>
          </w:tcPr>
          <w:p w14:paraId="3BEC08E7" w14:textId="77777777" w:rsidR="005B01D6" w:rsidRPr="005B01D6" w:rsidRDefault="005B01D6" w:rsidP="005B01D6">
            <w:pPr>
              <w:jc w:val="center"/>
              <w:rPr>
                <w:rFonts w:ascii="Arial" w:eastAsia="Calibri" w:hAnsi="Arial" w:cs="Arial"/>
                <w:b/>
                <w:bCs/>
                <w:sz w:val="20"/>
                <w:szCs w:val="20"/>
              </w:rPr>
            </w:pPr>
            <w:r w:rsidRPr="005B01D6">
              <w:rPr>
                <w:rFonts w:ascii="Arial" w:eastAsia="Calibri" w:hAnsi="Arial" w:cs="Arial"/>
                <w:b/>
                <w:bCs/>
                <w:sz w:val="20"/>
                <w:szCs w:val="20"/>
              </w:rPr>
              <w:t>Criteria</w:t>
            </w:r>
          </w:p>
        </w:tc>
        <w:tc>
          <w:tcPr>
            <w:tcW w:w="5162" w:type="dxa"/>
            <w:shd w:val="pct20" w:color="auto" w:fill="auto"/>
          </w:tcPr>
          <w:p w14:paraId="691E6466" w14:textId="77777777" w:rsidR="005B01D6" w:rsidRPr="005B01D6" w:rsidRDefault="005B01D6" w:rsidP="005B01D6">
            <w:pPr>
              <w:jc w:val="center"/>
              <w:rPr>
                <w:rFonts w:ascii="Arial" w:eastAsia="Calibri" w:hAnsi="Arial" w:cs="Arial"/>
                <w:b/>
                <w:bCs/>
                <w:sz w:val="20"/>
                <w:szCs w:val="20"/>
              </w:rPr>
            </w:pPr>
            <w:r w:rsidRPr="005B01D6">
              <w:rPr>
                <w:rFonts w:ascii="Arial" w:eastAsia="Calibri" w:hAnsi="Arial" w:cs="Arial"/>
                <w:b/>
                <w:bCs/>
                <w:sz w:val="20"/>
                <w:szCs w:val="20"/>
              </w:rPr>
              <w:t>Regulations</w:t>
            </w:r>
          </w:p>
        </w:tc>
      </w:tr>
      <w:tr w:rsidR="005B01D6" w:rsidRPr="005B01D6" w14:paraId="5D6D47E1" w14:textId="77777777" w:rsidTr="00287D85">
        <w:tc>
          <w:tcPr>
            <w:tcW w:w="517" w:type="dxa"/>
          </w:tcPr>
          <w:p w14:paraId="3C2B9B6A" w14:textId="77777777" w:rsidR="005B01D6" w:rsidRPr="005B01D6" w:rsidRDefault="005B01D6" w:rsidP="00287D85">
            <w:pPr>
              <w:jc w:val="center"/>
              <w:rPr>
                <w:rFonts w:ascii="Arial" w:eastAsia="Calibri" w:hAnsi="Arial" w:cs="Arial"/>
                <w:sz w:val="20"/>
                <w:szCs w:val="20"/>
              </w:rPr>
            </w:pPr>
            <w:r w:rsidRPr="005B01D6">
              <w:rPr>
                <w:rFonts w:ascii="Arial" w:eastAsia="Calibri" w:hAnsi="Arial" w:cs="Arial"/>
                <w:sz w:val="20"/>
                <w:szCs w:val="20"/>
              </w:rPr>
              <w:t>1</w:t>
            </w:r>
          </w:p>
        </w:tc>
        <w:tc>
          <w:tcPr>
            <w:tcW w:w="3960" w:type="dxa"/>
          </w:tcPr>
          <w:p w14:paraId="6FF616F5"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sz w:val="20"/>
                <w:szCs w:val="20"/>
              </w:rPr>
              <w:t>Form and time of compensation</w:t>
            </w:r>
          </w:p>
        </w:tc>
        <w:tc>
          <w:tcPr>
            <w:tcW w:w="5162" w:type="dxa"/>
          </w:tcPr>
          <w:p w14:paraId="4EDBB2F5" w14:textId="77777777" w:rsidR="005B01D6" w:rsidRPr="005B01D6" w:rsidRDefault="005B01D6" w:rsidP="005B01D6">
            <w:pPr>
              <w:jc w:val="both"/>
              <w:rPr>
                <w:rFonts w:ascii="Arial" w:eastAsia="Calibri" w:hAnsi="Arial" w:cs="Arial"/>
                <w:color w:val="000000"/>
                <w:sz w:val="20"/>
                <w:szCs w:val="20"/>
              </w:rPr>
            </w:pPr>
            <w:r w:rsidRPr="005B01D6">
              <w:rPr>
                <w:rFonts w:ascii="Arial" w:eastAsia="Calibri" w:hAnsi="Arial" w:cs="Arial"/>
                <w:sz w:val="20"/>
                <w:szCs w:val="20"/>
              </w:rPr>
              <w:t>The patent holder is not required to pay a fee to use the protection title for the period during which the initial marketing procedure of the pharmaceutical products which are manufactured under the patent in Vietnam is delayed when performing the patent maintenance procedure.</w:t>
            </w:r>
          </w:p>
        </w:tc>
      </w:tr>
      <w:tr w:rsidR="005B01D6" w:rsidRPr="005B01D6" w14:paraId="6180A33F" w14:textId="77777777" w:rsidTr="00287D85">
        <w:tc>
          <w:tcPr>
            <w:tcW w:w="517" w:type="dxa"/>
          </w:tcPr>
          <w:p w14:paraId="446B6BA3" w14:textId="77777777" w:rsidR="005B01D6" w:rsidRPr="005B01D6" w:rsidRDefault="005B01D6" w:rsidP="00287D85">
            <w:pPr>
              <w:jc w:val="center"/>
              <w:rPr>
                <w:rFonts w:ascii="Arial" w:eastAsia="Calibri" w:hAnsi="Arial" w:cs="Arial"/>
                <w:sz w:val="20"/>
                <w:szCs w:val="20"/>
              </w:rPr>
            </w:pPr>
            <w:r w:rsidRPr="005B01D6">
              <w:rPr>
                <w:rFonts w:ascii="Arial" w:eastAsia="Calibri" w:hAnsi="Arial" w:cs="Arial"/>
                <w:sz w:val="20"/>
                <w:szCs w:val="20"/>
              </w:rPr>
              <w:t>2</w:t>
            </w:r>
          </w:p>
        </w:tc>
        <w:tc>
          <w:tcPr>
            <w:tcW w:w="3960" w:type="dxa"/>
          </w:tcPr>
          <w:p w14:paraId="680D3171"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sz w:val="20"/>
                <w:szCs w:val="20"/>
              </w:rPr>
              <w:t>Conditions for being considered a delay in the marketing authorization of pharmaceuticals</w:t>
            </w:r>
          </w:p>
        </w:tc>
        <w:tc>
          <w:tcPr>
            <w:tcW w:w="5162" w:type="dxa"/>
          </w:tcPr>
          <w:p w14:paraId="5D2EA519"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color w:val="000000"/>
                <w:sz w:val="20"/>
                <w:szCs w:val="20"/>
              </w:rPr>
              <w:t xml:space="preserve">Within 24 months from the date of receipt of the valid application for registration, the competent authority has no response. </w:t>
            </w:r>
            <w:r w:rsidRPr="005B01D6">
              <w:rPr>
                <w:rFonts w:ascii="Arial" w:eastAsia="Calibri" w:hAnsi="Arial" w:cs="Arial"/>
                <w:sz w:val="20"/>
                <w:szCs w:val="20"/>
              </w:rPr>
              <w:t>The delay period is calculated from the first day after the end of two years from the date when the competent agency receives the complete dossier to the time of issuing the first written response.</w:t>
            </w:r>
          </w:p>
        </w:tc>
      </w:tr>
      <w:tr w:rsidR="005B01D6" w:rsidRPr="005B01D6" w14:paraId="059F3718" w14:textId="77777777" w:rsidTr="00287D85">
        <w:tc>
          <w:tcPr>
            <w:tcW w:w="517" w:type="dxa"/>
          </w:tcPr>
          <w:p w14:paraId="1F0388B2" w14:textId="77777777" w:rsidR="005B01D6" w:rsidRPr="005B01D6" w:rsidRDefault="005B01D6" w:rsidP="00287D85">
            <w:pPr>
              <w:jc w:val="center"/>
              <w:rPr>
                <w:rFonts w:ascii="Arial" w:eastAsia="Calibri" w:hAnsi="Arial" w:cs="Arial"/>
                <w:sz w:val="20"/>
                <w:szCs w:val="20"/>
              </w:rPr>
            </w:pPr>
            <w:r w:rsidRPr="005B01D6">
              <w:rPr>
                <w:rFonts w:ascii="Arial" w:eastAsia="Calibri" w:hAnsi="Arial" w:cs="Arial"/>
                <w:sz w:val="20"/>
                <w:szCs w:val="20"/>
              </w:rPr>
              <w:t>3</w:t>
            </w:r>
          </w:p>
        </w:tc>
        <w:tc>
          <w:tcPr>
            <w:tcW w:w="3960" w:type="dxa"/>
          </w:tcPr>
          <w:p w14:paraId="659FE236"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sz w:val="20"/>
                <w:szCs w:val="20"/>
              </w:rPr>
              <w:t xml:space="preserve">Documents to be submitted to IP VIETNAM for compensation  </w:t>
            </w:r>
          </w:p>
        </w:tc>
        <w:tc>
          <w:tcPr>
            <w:tcW w:w="5162" w:type="dxa"/>
          </w:tcPr>
          <w:p w14:paraId="41B631BF"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sz w:val="20"/>
                <w:szCs w:val="20"/>
              </w:rPr>
              <w:t>Within 12 months from the date on which a pharmaceutical product is licensed for circulation, the patent holder must submit to IP VIETNAM a written confirmation issued by the competent agency in marketing authorization of pharmaceutical products certifying that the procedure for marketing authorization of such pharmaceutical products has been delayed.</w:t>
            </w:r>
          </w:p>
        </w:tc>
      </w:tr>
    </w:tbl>
    <w:p w14:paraId="48114ADE" w14:textId="77777777" w:rsidR="005B01D6" w:rsidRPr="005B01D6" w:rsidRDefault="005B01D6" w:rsidP="005B01D6">
      <w:pPr>
        <w:spacing w:after="0" w:line="240" w:lineRule="auto"/>
        <w:jc w:val="both"/>
        <w:rPr>
          <w:rFonts w:ascii="Arial" w:eastAsia="Calibri" w:hAnsi="Arial" w:cs="Arial"/>
          <w:b/>
          <w:bCs/>
          <w:sz w:val="20"/>
          <w:szCs w:val="20"/>
        </w:rPr>
      </w:pPr>
    </w:p>
    <w:p w14:paraId="5A71F47F" w14:textId="77777777" w:rsidR="005B01D6" w:rsidRPr="005B01D6" w:rsidRDefault="005B01D6" w:rsidP="005B01D6">
      <w:pPr>
        <w:spacing w:after="0" w:line="240" w:lineRule="auto"/>
        <w:jc w:val="both"/>
        <w:rPr>
          <w:rFonts w:ascii="Arial" w:hAnsi="Arial" w:cs="Arial"/>
          <w:b/>
          <w:bCs/>
          <w:color w:val="0070C0"/>
          <w:sz w:val="20"/>
          <w:szCs w:val="20"/>
        </w:rPr>
      </w:pPr>
      <w:r w:rsidRPr="005B01D6">
        <w:rPr>
          <w:rFonts w:ascii="Arial" w:hAnsi="Arial" w:cs="Arial"/>
          <w:b/>
          <w:bCs/>
          <w:color w:val="0070C0"/>
          <w:sz w:val="20"/>
          <w:szCs w:val="20"/>
        </w:rPr>
        <w:t>7. Using results of substantive examination concluded for patent applications from foreign patent offices</w:t>
      </w:r>
    </w:p>
    <w:p w14:paraId="60BDA1C6" w14:textId="77777777" w:rsidR="005B01D6" w:rsidRPr="005B01D6" w:rsidRDefault="005B01D6" w:rsidP="005B01D6">
      <w:pPr>
        <w:spacing w:after="0" w:line="240" w:lineRule="auto"/>
        <w:jc w:val="both"/>
        <w:rPr>
          <w:rFonts w:ascii="Arial" w:eastAsia="Calibri" w:hAnsi="Arial" w:cs="Arial"/>
          <w:b/>
          <w:bCs/>
          <w:sz w:val="20"/>
          <w:szCs w:val="20"/>
        </w:rPr>
      </w:pPr>
    </w:p>
    <w:p w14:paraId="65F40983"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IP VIETNAM examines and determines the patentability of patent applications under the examination procedures and requirements established by the 2005 IP Law and sub-laws. In addition to the examination under the specific principles, as a matter of practice, IP VIETNAM usually relies on the examination results of the foreign prior patent applications as an important basis in determining the grant or denial of protection title for Vietnam patent applications if the patent application filed in Vietnam has a corresponding application earlier filed abroad. In cases of such foreign grants/allowances of corresponding applications, the applicants of pending applications are often suggested to supplement examination results of foreign patent offices or to make amendments to conform with the allowed/granted claims so that the patent application in Vietnam is soon granted a protection title.</w:t>
      </w:r>
    </w:p>
    <w:p w14:paraId="5E1DC599" w14:textId="77777777" w:rsidR="005B01D6" w:rsidRPr="005B01D6" w:rsidRDefault="005B01D6" w:rsidP="005B01D6">
      <w:pPr>
        <w:spacing w:after="0" w:line="240" w:lineRule="auto"/>
        <w:jc w:val="both"/>
        <w:rPr>
          <w:rFonts w:ascii="Arial" w:eastAsia="Calibri" w:hAnsi="Arial" w:cs="Arial"/>
          <w:sz w:val="20"/>
          <w:szCs w:val="20"/>
        </w:rPr>
      </w:pPr>
    </w:p>
    <w:p w14:paraId="373264B6"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To codify the above practice, the 2022 IP Law added Clauses 3 and 4 to Article 114, allowing IP VIETNAM to "</w:t>
      </w:r>
      <w:r w:rsidRPr="005B01D6">
        <w:rPr>
          <w:rFonts w:ascii="Arial" w:eastAsia="Calibri" w:hAnsi="Arial" w:cs="Arial"/>
          <w:i/>
          <w:sz w:val="20"/>
          <w:szCs w:val="20"/>
        </w:rPr>
        <w:t>use the results of substantive examination of corresponding patent applications that fall within the same scope of protection as the claimed invention, conducted by a foreign patent agency during the application prosecution</w:t>
      </w:r>
      <w:r w:rsidRPr="005B01D6">
        <w:rPr>
          <w:rFonts w:ascii="Arial" w:eastAsia="Calibri" w:hAnsi="Arial" w:cs="Arial"/>
          <w:sz w:val="20"/>
          <w:szCs w:val="20"/>
        </w:rPr>
        <w:t>” when examining a patent application filed in Vietnam. The principles, criteria and procedures to govern the use of such examination results will be detailed in sub-laws.</w:t>
      </w:r>
    </w:p>
    <w:p w14:paraId="234E63B3" w14:textId="77777777" w:rsidR="005B01D6" w:rsidRPr="005B01D6" w:rsidRDefault="005B01D6" w:rsidP="005B01D6">
      <w:pPr>
        <w:spacing w:after="0" w:line="240" w:lineRule="auto"/>
        <w:jc w:val="both"/>
        <w:rPr>
          <w:rFonts w:ascii="Arial" w:eastAsia="Calibri" w:hAnsi="Arial" w:cs="Arial"/>
          <w:b/>
          <w:bCs/>
          <w:sz w:val="20"/>
          <w:szCs w:val="20"/>
        </w:rPr>
      </w:pPr>
    </w:p>
    <w:p w14:paraId="11538BBE"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hAnsi="Arial" w:cs="Arial"/>
          <w:b/>
          <w:bCs/>
          <w:color w:val="0070C0"/>
          <w:sz w:val="20"/>
          <w:szCs w:val="20"/>
        </w:rPr>
        <w:t>8. Compulsory licensing of patents in Vietnam:</w:t>
      </w:r>
      <w:r w:rsidRPr="005B01D6">
        <w:rPr>
          <w:rFonts w:ascii="Arial" w:eastAsia="Calibri" w:hAnsi="Arial" w:cs="Arial"/>
          <w:b/>
          <w:bCs/>
          <w:sz w:val="20"/>
          <w:szCs w:val="20"/>
        </w:rPr>
        <w:t xml:space="preserve"> </w:t>
      </w:r>
      <w:r w:rsidRPr="005B01D6">
        <w:rPr>
          <w:rFonts w:ascii="Arial" w:eastAsia="Calibri" w:hAnsi="Arial" w:cs="Arial"/>
          <w:i/>
          <w:iCs/>
          <w:sz w:val="20"/>
          <w:szCs w:val="20"/>
        </w:rPr>
        <w:t>Supplementing the grounds for compulsory licensing of a patent to meet the needs of the eligible importing country under the provisions of the TRIPS Agreement and supplementing the provision on exemption from compensatory obligations upon compulsory licensing of patents.</w:t>
      </w:r>
    </w:p>
    <w:p w14:paraId="4D24B6F6" w14:textId="77777777" w:rsidR="005B01D6" w:rsidRPr="005B01D6" w:rsidRDefault="005B01D6" w:rsidP="005B01D6">
      <w:pPr>
        <w:spacing w:after="0" w:line="240" w:lineRule="auto"/>
        <w:jc w:val="both"/>
        <w:rPr>
          <w:rFonts w:ascii="Arial" w:eastAsia="Calibri" w:hAnsi="Arial" w:cs="Arial"/>
          <w:sz w:val="20"/>
          <w:szCs w:val="20"/>
        </w:rPr>
      </w:pPr>
    </w:p>
    <w:p w14:paraId="148BEB63"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Compulsory licensing of a patent is construed as the transfer to another organization or individual the right to use the invention under a decision of a competent state agency without the consent of the patent holder.</w:t>
      </w:r>
    </w:p>
    <w:p w14:paraId="56D1FDA5" w14:textId="77777777" w:rsidR="005B01D6" w:rsidRPr="005B01D6" w:rsidRDefault="005B01D6" w:rsidP="005B01D6">
      <w:pPr>
        <w:spacing w:after="0" w:line="240" w:lineRule="auto"/>
        <w:jc w:val="both"/>
        <w:rPr>
          <w:rFonts w:ascii="Arial" w:eastAsia="Calibri" w:hAnsi="Arial" w:cs="Arial"/>
          <w:sz w:val="20"/>
          <w:szCs w:val="20"/>
        </w:rPr>
      </w:pPr>
    </w:p>
    <w:p w14:paraId="50FC841F" w14:textId="6DDDDDFC"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 xml:space="preserve">In the pharmaceutical industry, many WTO member countries, which are developing and underdeveloped countries, have encountered many difficulties in implementing policies on public health protection, especially in gaining access to essential pharmaceutical resources for the people. The reason is that the TRIPS </w:t>
      </w:r>
      <w:r w:rsidRPr="005B01D6">
        <w:rPr>
          <w:rFonts w:ascii="Arial" w:eastAsia="Calibri" w:hAnsi="Arial" w:cs="Arial"/>
          <w:sz w:val="20"/>
          <w:szCs w:val="20"/>
        </w:rPr>
        <w:lastRenderedPageBreak/>
        <w:t xml:space="preserve">Agreement lacks a flexible mechanism for public health protection. Specifically, one of the conditions of the patent use mechanism without the permission of the patent holder (also known as mechanism for the transfer of the license by compulsory decision) is that the compulsory license is mainly intended to supply the domestic market (Article 31(f) of the TRIPS Agreement). Consequently, if a member country wants to use this mechanism in the event that a specific drug is needed to prevent disease risk, but its pharmaceutical industry lacks the capacity to produce the drug, such a member country cannot require other member countries to </w:t>
      </w:r>
      <w:r w:rsidRPr="005B01D6">
        <w:rPr>
          <w:rFonts w:ascii="Arial" w:eastAsia="Calibri" w:hAnsi="Arial" w:cs="Arial"/>
          <w:color w:val="222222"/>
          <w:sz w:val="20"/>
          <w:szCs w:val="20"/>
          <w:shd w:val="clear" w:color="auto" w:fill="FFFFFF"/>
        </w:rPr>
        <w:t>manufacture it</w:t>
      </w:r>
      <w:r w:rsidRPr="005B01D6">
        <w:rPr>
          <w:rFonts w:ascii="Arial" w:eastAsia="Calibri" w:hAnsi="Arial" w:cs="Arial"/>
          <w:sz w:val="20"/>
          <w:szCs w:val="20"/>
        </w:rPr>
        <w:t>.</w:t>
      </w:r>
    </w:p>
    <w:p w14:paraId="026589A9" w14:textId="739A0F12" w:rsidR="005B01D6" w:rsidRPr="005B01D6" w:rsidRDefault="001D7359" w:rsidP="005B01D6">
      <w:pPr>
        <w:spacing w:after="0" w:line="240" w:lineRule="auto"/>
        <w:jc w:val="both"/>
        <w:rPr>
          <w:rFonts w:ascii="Arial" w:eastAsia="Calibri" w:hAnsi="Arial" w:cs="Arial"/>
          <w:sz w:val="20"/>
          <w:szCs w:val="20"/>
        </w:rPr>
      </w:pPr>
      <w:r w:rsidRPr="00A451ED">
        <w:rPr>
          <w:rFonts w:ascii="Arial" w:hAnsi="Arial" w:cs="Arial"/>
          <w:bCs/>
          <w:noProof/>
          <w:color w:val="C00000"/>
          <w:sz w:val="24"/>
          <w:szCs w:val="24"/>
          <w:lang w:eastAsia="ko-KR"/>
        </w:rPr>
        <mc:AlternateContent>
          <mc:Choice Requires="wps">
            <w:drawing>
              <wp:anchor distT="0" distB="0" distL="114300" distR="114300" simplePos="0" relativeHeight="251673600" behindDoc="0" locked="0" layoutInCell="1" allowOverlap="1" wp14:anchorId="61F63D6A" wp14:editId="78410F69">
                <wp:simplePos x="0" y="0"/>
                <wp:positionH relativeFrom="column">
                  <wp:posOffset>6347460</wp:posOffset>
                </wp:positionH>
                <wp:positionV relativeFrom="paragraph">
                  <wp:posOffset>-1609090</wp:posOffset>
                </wp:positionV>
                <wp:extent cx="323850" cy="105727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F92EAB" w14:textId="77777777" w:rsidR="001D7359" w:rsidRDefault="001D7359" w:rsidP="001D7359">
                            <w:pPr>
                              <w:spacing w:after="0" w:line="240" w:lineRule="auto"/>
                              <w:jc w:val="center"/>
                              <w:rPr>
                                <w:rFonts w:ascii="Arial" w:hAnsi="Arial" w:cs="Arial"/>
                                <w:color w:val="FFFFFF" w:themeColor="background1"/>
                              </w:rPr>
                            </w:pPr>
                          </w:p>
                          <w:p w14:paraId="528050A1" w14:textId="77777777" w:rsidR="001D7359" w:rsidRPr="00454E68" w:rsidRDefault="001D7359" w:rsidP="001D7359">
                            <w:pPr>
                              <w:spacing w:after="0" w:line="240" w:lineRule="auto"/>
                              <w:jc w:val="center"/>
                              <w:rPr>
                                <w:rFonts w:ascii="Arial" w:hAnsi="Arial" w:cs="Arial"/>
                                <w:color w:val="FFFFFF" w:themeColor="background1"/>
                                <w:sz w:val="18"/>
                                <w:szCs w:val="18"/>
                              </w:rPr>
                            </w:pPr>
                          </w:p>
                          <w:p w14:paraId="1FA209A8" w14:textId="77777777" w:rsidR="001D7359" w:rsidRPr="001D7359" w:rsidRDefault="001D7359" w:rsidP="001D7359">
                            <w:pPr>
                              <w:spacing w:after="0" w:line="240" w:lineRule="auto"/>
                              <w:rPr>
                                <w:rFonts w:ascii="Arial" w:hAnsi="Arial" w:cs="Arial"/>
                                <w:b/>
                                <w:color w:val="FFFFFF" w:themeColor="background1"/>
                                <w:sz w:val="20"/>
                                <w:szCs w:val="20"/>
                              </w:rPr>
                            </w:pPr>
                            <w:r w:rsidRPr="00454E68">
                              <w:rPr>
                                <w:rFonts w:ascii="Arial" w:hAnsi="Arial" w:cs="Arial"/>
                                <w:color w:val="FFFFFF" w:themeColor="background1"/>
                                <w:sz w:val="18"/>
                                <w:szCs w:val="18"/>
                              </w:rPr>
                              <w:t xml:space="preserve">            </w:t>
                            </w:r>
                            <w:r w:rsidRPr="001D7359">
                              <w:rPr>
                                <w:rFonts w:ascii="Arial" w:hAnsi="Arial" w:cs="Arial"/>
                                <w:b/>
                                <w:color w:val="FFFFFF" w:themeColor="background1"/>
                                <w:sz w:val="20"/>
                                <w:szCs w:val="20"/>
                              </w:rPr>
                              <w:t>Patent in Vietnam</w:t>
                            </w:r>
                          </w:p>
                          <w:p w14:paraId="26592B5A" w14:textId="77777777" w:rsidR="001D7359" w:rsidRDefault="001D7359" w:rsidP="001D7359">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1" style="position:absolute;left:0;text-align:left;margin-left:499.8pt;margin-top:-126.7pt;width:25.5pt;height:8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" fillcolor="#00b39c" strokecolor="#00b39c" strokeweight="1pt">
                <v:textbox style="layout-flow:vertical">
                  <w:txbxContent>
                    <w:p w14:paraId="60F92EAB" w14:textId="77777777" w:rsidR="001D7359" w:rsidRDefault="001D7359" w:rsidP="001D7359">
                      <w:pPr>
                        <w:spacing w:after="0" w:line="240" w:lineRule="auto"/>
                        <w:jc w:val="center"/>
                        <w:rPr>
                          <w:rFonts w:ascii="Arial" w:hAnsi="Arial" w:cs="Arial"/>
                          <w:color w:val="FFFFFF" w:themeColor="background1"/>
                        </w:rPr>
                      </w:pPr>
                    </w:p>
                    <w:p w14:paraId="528050A1" w14:textId="77777777" w:rsidR="001D7359" w:rsidRPr="00454E68" w:rsidRDefault="001D7359" w:rsidP="001D7359">
                      <w:pPr>
                        <w:spacing w:after="0" w:line="240" w:lineRule="auto"/>
                        <w:jc w:val="center"/>
                        <w:rPr>
                          <w:rFonts w:ascii="Arial" w:hAnsi="Arial" w:cs="Arial"/>
                          <w:color w:val="FFFFFF" w:themeColor="background1"/>
                          <w:sz w:val="18"/>
                          <w:szCs w:val="18"/>
                        </w:rPr>
                      </w:pPr>
                    </w:p>
                    <w:p w14:paraId="1FA209A8" w14:textId="77777777" w:rsidR="001D7359" w:rsidRPr="001D7359" w:rsidRDefault="001D7359" w:rsidP="001D7359">
                      <w:pPr>
                        <w:spacing w:after="0" w:line="240" w:lineRule="auto"/>
                        <w:rPr>
                          <w:rFonts w:ascii="Arial" w:hAnsi="Arial" w:cs="Arial"/>
                          <w:b/>
                          <w:color w:val="FFFFFF" w:themeColor="background1"/>
                          <w:sz w:val="20"/>
                          <w:szCs w:val="20"/>
                        </w:rPr>
                      </w:pPr>
                      <w:r w:rsidRPr="00454E68">
                        <w:rPr>
                          <w:rFonts w:ascii="Arial" w:hAnsi="Arial" w:cs="Arial"/>
                          <w:color w:val="FFFFFF" w:themeColor="background1"/>
                          <w:sz w:val="18"/>
                          <w:szCs w:val="18"/>
                        </w:rPr>
                        <w:t xml:space="preserve">            </w:t>
                      </w:r>
                      <w:r w:rsidRPr="001D7359">
                        <w:rPr>
                          <w:rFonts w:ascii="Arial" w:hAnsi="Arial" w:cs="Arial"/>
                          <w:b/>
                          <w:color w:val="FFFFFF" w:themeColor="background1"/>
                          <w:sz w:val="20"/>
                          <w:szCs w:val="20"/>
                        </w:rPr>
                        <w:t>Patent in Vietnam</w:t>
                      </w:r>
                    </w:p>
                    <w:p w14:paraId="26592B5A" w14:textId="77777777" w:rsidR="001D7359" w:rsidRDefault="001D7359" w:rsidP="001D7359">
                      <w:pPr>
                        <w:jc w:val="center"/>
                      </w:pPr>
                    </w:p>
                  </w:txbxContent>
                </v:textbox>
              </v:rect>
            </w:pict>
          </mc:Fallback>
        </mc:AlternateContent>
      </w:r>
    </w:p>
    <w:p w14:paraId="0C5EB732"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 xml:space="preserve">To solve the above problem, Article 31bis of the TRIPS Amendment Protocol has established a mechanism that allows member countries to make decisions on compulsory licensing of a pharmaceutical invention without having to comply with regulations of Article 31(f) of the TRIPS Agreement. It is understood that the supply of pharmaceutical products manufactured under compulsory patent licensing is not limited to the domestic market of the member country, and that generic drugs may also be exported. In addition, the Annex to the TRIPS Amendment Protocol also adds terms such as pharmaceuticals, eligible importing members, exporting members, etc. to facilitate the application of such </w:t>
      </w:r>
      <w:r w:rsidRPr="005B01D6">
        <w:rPr>
          <w:rFonts w:ascii="Arial" w:eastAsia="Calibri" w:hAnsi="Arial" w:cs="Arial"/>
          <w:color w:val="222222"/>
          <w:sz w:val="20"/>
          <w:szCs w:val="20"/>
          <w:shd w:val="clear" w:color="auto" w:fill="FFFFFF"/>
        </w:rPr>
        <w:t>mechanisms</w:t>
      </w:r>
      <w:r w:rsidRPr="005B01D6">
        <w:rPr>
          <w:rFonts w:ascii="Arial" w:eastAsia="Calibri" w:hAnsi="Arial" w:cs="Arial"/>
          <w:sz w:val="20"/>
          <w:szCs w:val="20"/>
        </w:rPr>
        <w:t xml:space="preserve"> to member countries.</w:t>
      </w:r>
    </w:p>
    <w:p w14:paraId="28A69F62"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br/>
        <w:t xml:space="preserve">On 16 January 2017, Vietnam ratified the Protocol to amend TRIPS. At the same time, the Vietnamese government also announced to use the mechanism specified in Article 31bis of the TRIPS Amendment Protocol as an importer of pharmaceuticals. </w:t>
      </w:r>
    </w:p>
    <w:p w14:paraId="1B3D2F23" w14:textId="77777777" w:rsidR="005B01D6" w:rsidRPr="005B01D6" w:rsidRDefault="005B01D6" w:rsidP="005B01D6">
      <w:pPr>
        <w:spacing w:after="0" w:line="240" w:lineRule="auto"/>
        <w:jc w:val="both"/>
        <w:rPr>
          <w:rFonts w:ascii="Arial" w:eastAsia="Calibri" w:hAnsi="Arial" w:cs="Arial"/>
          <w:sz w:val="20"/>
          <w:szCs w:val="20"/>
        </w:rPr>
      </w:pPr>
    </w:p>
    <w:p w14:paraId="15461351"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Accordingly, the 2022 IP Law has supplemented a basis for compulsory licensing of patents to meet the needs of eligible importing countries under the provisions of the TRIPS Agreement. Specifically, point đ is added to Clause 1, Article 145 of the provisions on the grounds for compulsory licensing of a patent, as follows: “</w:t>
      </w:r>
      <w:proofErr w:type="spellStart"/>
      <w:r w:rsidRPr="005B01D6">
        <w:rPr>
          <w:rFonts w:ascii="Arial" w:eastAsia="Calibri" w:hAnsi="Arial" w:cs="Arial"/>
          <w:sz w:val="20"/>
          <w:szCs w:val="20"/>
        </w:rPr>
        <w:t>dd</w:t>
      </w:r>
      <w:proofErr w:type="spellEnd"/>
      <w:r w:rsidRPr="005B01D6">
        <w:rPr>
          <w:rFonts w:ascii="Arial" w:eastAsia="Calibri" w:hAnsi="Arial" w:cs="Arial"/>
          <w:sz w:val="20"/>
          <w:szCs w:val="20"/>
        </w:rPr>
        <w:t xml:space="preserve">) </w:t>
      </w:r>
      <w:r w:rsidRPr="005B01D6">
        <w:rPr>
          <w:rFonts w:ascii="Arial" w:eastAsia="Calibri" w:hAnsi="Arial" w:cs="Arial"/>
          <w:i/>
          <w:sz w:val="20"/>
          <w:szCs w:val="20"/>
        </w:rPr>
        <w:t>The use of an invention to meet the demand for pharmaceuticals for diseases prevention and treatment of other countries that are eligible for import under international treaties to which the Socialist Republic of Vietnam is a member</w:t>
      </w:r>
      <w:r w:rsidRPr="005B01D6">
        <w:rPr>
          <w:rFonts w:ascii="Arial" w:eastAsia="Calibri" w:hAnsi="Arial" w:cs="Arial"/>
          <w:sz w:val="20"/>
          <w:szCs w:val="20"/>
        </w:rPr>
        <w:t>.” At the same time, supplementing a provision on exemption from compensation obligation upon compulsory transfer of inventions, according to which, “</w:t>
      </w:r>
      <w:r w:rsidRPr="005B01D6">
        <w:rPr>
          <w:rFonts w:ascii="Arial" w:eastAsia="Calibri" w:hAnsi="Arial" w:cs="Arial"/>
          <w:i/>
          <w:sz w:val="20"/>
          <w:szCs w:val="20"/>
        </w:rPr>
        <w:t>in case the right to use an invention is transferred under a compulsory decision to import pharmaceuticals under the mechanism of an international treaty to which the Socialist Republic of Vietnam is  a member and the compensation for the use of the invention transferred under a compulsory decision has been paid in the exporting country</w:t>
      </w:r>
      <w:r w:rsidRPr="005B01D6">
        <w:rPr>
          <w:rFonts w:ascii="Arial" w:eastAsia="Calibri" w:hAnsi="Arial" w:cs="Arial"/>
          <w:sz w:val="20"/>
          <w:szCs w:val="20"/>
        </w:rPr>
        <w:t>”, the licensee of the right to use does not have to pay the patent holder a compensation.</w:t>
      </w:r>
    </w:p>
    <w:p w14:paraId="3C5FD218" w14:textId="77777777" w:rsidR="005B01D6" w:rsidRPr="005B01D6" w:rsidRDefault="005B01D6" w:rsidP="005B01D6">
      <w:pPr>
        <w:spacing w:after="0" w:line="240" w:lineRule="auto"/>
        <w:jc w:val="both"/>
        <w:rPr>
          <w:rFonts w:ascii="Arial" w:eastAsia="Calibri" w:hAnsi="Arial" w:cs="Arial"/>
          <w:sz w:val="20"/>
          <w:szCs w:val="20"/>
        </w:rPr>
      </w:pPr>
    </w:p>
    <w:p w14:paraId="430BC5BD" w14:textId="77777777" w:rsidR="005B01D6" w:rsidRPr="005B01D6" w:rsidRDefault="005B01D6" w:rsidP="005B01D6">
      <w:pPr>
        <w:spacing w:after="0" w:line="240" w:lineRule="auto"/>
        <w:jc w:val="both"/>
        <w:rPr>
          <w:rFonts w:ascii="Arial" w:hAnsi="Arial" w:cs="Arial"/>
          <w:b/>
          <w:bCs/>
          <w:color w:val="0070C0"/>
          <w:sz w:val="20"/>
          <w:szCs w:val="20"/>
        </w:rPr>
      </w:pPr>
      <w:r w:rsidRPr="005B01D6">
        <w:rPr>
          <w:rFonts w:ascii="Arial" w:hAnsi="Arial" w:cs="Arial"/>
          <w:b/>
          <w:bCs/>
          <w:color w:val="0070C0"/>
          <w:sz w:val="20"/>
          <w:szCs w:val="20"/>
        </w:rPr>
        <w:t xml:space="preserve">9. Increasing the protection level of test data in Vietnam – Measures for protection in relation with test data for pharmaceuticals and agricultural chemicals </w:t>
      </w:r>
    </w:p>
    <w:p w14:paraId="35ADABD1" w14:textId="77777777" w:rsidR="005B01D6" w:rsidRPr="005B01D6" w:rsidRDefault="005B01D6" w:rsidP="005B01D6">
      <w:pPr>
        <w:spacing w:after="0" w:line="240" w:lineRule="auto"/>
        <w:jc w:val="both"/>
        <w:rPr>
          <w:rFonts w:ascii="Arial" w:eastAsia="Calibri" w:hAnsi="Arial" w:cs="Arial"/>
          <w:sz w:val="20"/>
          <w:szCs w:val="20"/>
        </w:rPr>
      </w:pPr>
    </w:p>
    <w:p w14:paraId="62A547B1"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 xml:space="preserve">Patent protection for pharmaceuticals and test data protection for agricultural chemicals </w:t>
      </w:r>
      <w:proofErr w:type="gramStart"/>
      <w:r w:rsidRPr="005B01D6">
        <w:rPr>
          <w:rFonts w:ascii="Arial" w:eastAsia="Calibri" w:hAnsi="Arial" w:cs="Arial"/>
          <w:sz w:val="20"/>
          <w:szCs w:val="20"/>
        </w:rPr>
        <w:t>are</w:t>
      </w:r>
      <w:proofErr w:type="gramEnd"/>
      <w:r w:rsidRPr="005B01D6">
        <w:rPr>
          <w:rFonts w:ascii="Arial" w:eastAsia="Calibri" w:hAnsi="Arial" w:cs="Arial"/>
          <w:sz w:val="20"/>
          <w:szCs w:val="20"/>
        </w:rPr>
        <w:t xml:space="preserve"> the subject of intense negotiations and considered as a mandatory requirement specified in Articles 18.47 and 18.48 of the Comprehensive and Progressive Agreement for Trans-Pacific Partnership (CPTPP) to which Vietnam is a member. CPTPP member countries must commit to a higher level of protection for test data and confidential data used in the registration or marketing approval of pharmaceuticals and agricultural chemicals. For agro-chemicals, the licensing authority must give the data </w:t>
      </w:r>
      <w:proofErr w:type="gramStart"/>
      <w:r w:rsidRPr="005B01D6">
        <w:rPr>
          <w:rFonts w:ascii="Arial" w:eastAsia="Calibri" w:hAnsi="Arial" w:cs="Arial"/>
          <w:sz w:val="20"/>
          <w:szCs w:val="20"/>
        </w:rPr>
        <w:t>creators</w:t>
      </w:r>
      <w:proofErr w:type="gramEnd"/>
      <w:r w:rsidRPr="005B01D6">
        <w:rPr>
          <w:rFonts w:ascii="Arial" w:eastAsia="Calibri" w:hAnsi="Arial" w:cs="Arial"/>
          <w:sz w:val="20"/>
          <w:szCs w:val="20"/>
        </w:rPr>
        <w:t xml:space="preserve"> exclusive rights to use the data in their application for registration of agricultural chemicals for 10-year period.</w:t>
      </w:r>
    </w:p>
    <w:p w14:paraId="79BC382D" w14:textId="77777777" w:rsidR="005B01D6" w:rsidRPr="005B01D6" w:rsidRDefault="005B01D6" w:rsidP="005B01D6">
      <w:pPr>
        <w:spacing w:after="0" w:line="240" w:lineRule="auto"/>
        <w:jc w:val="both"/>
        <w:rPr>
          <w:rFonts w:ascii="Arial" w:eastAsia="Calibri" w:hAnsi="Arial" w:cs="Arial"/>
          <w:sz w:val="20"/>
          <w:szCs w:val="20"/>
        </w:rPr>
      </w:pPr>
    </w:p>
    <w:p w14:paraId="44C3FF3F"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 xml:space="preserve">The regulation on protection of agricultural chemicals testing data for a period of 10 years is said to be uneconomical in terms of resources, time and cost because if a third party wants to obtain market authorization for a similar product, all tests must be repeated, and the same data must be gathered when requesting for market authorization. It is also unreasonable to invest in developing test data for veterinary drugs and </w:t>
      </w:r>
      <w:r w:rsidRPr="005B01D6">
        <w:rPr>
          <w:rFonts w:ascii="Arial" w:eastAsia="Calibri" w:hAnsi="Arial" w:cs="Arial"/>
          <w:color w:val="222222"/>
          <w:sz w:val="20"/>
          <w:szCs w:val="20"/>
          <w:shd w:val="clear" w:color="auto" w:fill="FFFFFF"/>
        </w:rPr>
        <w:t>pesticides</w:t>
      </w:r>
      <w:r w:rsidRPr="005B01D6">
        <w:rPr>
          <w:rFonts w:ascii="Arial" w:eastAsia="Calibri" w:hAnsi="Arial" w:cs="Arial"/>
          <w:sz w:val="20"/>
          <w:szCs w:val="20"/>
        </w:rPr>
        <w:t>, which increases the costs of agricultural chemicals and imposes an additional burden on consumers.</w:t>
      </w:r>
    </w:p>
    <w:p w14:paraId="2E23F91E" w14:textId="77777777" w:rsidR="005B01D6" w:rsidRPr="005B01D6" w:rsidRDefault="005B01D6" w:rsidP="005B01D6">
      <w:pPr>
        <w:spacing w:after="0" w:line="240" w:lineRule="auto"/>
        <w:jc w:val="both"/>
        <w:rPr>
          <w:rFonts w:ascii="Arial" w:eastAsia="Calibri" w:hAnsi="Arial" w:cs="Arial"/>
          <w:sz w:val="20"/>
          <w:szCs w:val="20"/>
        </w:rPr>
      </w:pPr>
    </w:p>
    <w:p w14:paraId="3518B696"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 xml:space="preserve">The 2005 IP Law provided a general framework for the obligations of state agencies regarding the confidentiality of test data associated with pharmaceuticals and agricultural </w:t>
      </w:r>
      <w:proofErr w:type="gramStart"/>
      <w:r w:rsidRPr="005B01D6">
        <w:rPr>
          <w:rFonts w:ascii="Arial" w:eastAsia="Calibri" w:hAnsi="Arial" w:cs="Arial"/>
          <w:sz w:val="20"/>
          <w:szCs w:val="20"/>
        </w:rPr>
        <w:t>chemicals,</w:t>
      </w:r>
      <w:proofErr w:type="gramEnd"/>
      <w:r w:rsidRPr="005B01D6">
        <w:rPr>
          <w:rFonts w:ascii="Arial" w:eastAsia="Calibri" w:hAnsi="Arial" w:cs="Arial"/>
          <w:sz w:val="20"/>
          <w:szCs w:val="20"/>
        </w:rPr>
        <w:t xml:space="preserve"> however, there were no specific and detailed regulations on measures to protect such data.</w:t>
      </w:r>
    </w:p>
    <w:p w14:paraId="1021654C" w14:textId="77777777" w:rsidR="005B01D6" w:rsidRPr="005B01D6" w:rsidRDefault="005B01D6" w:rsidP="005B01D6">
      <w:pPr>
        <w:spacing w:after="0" w:line="240" w:lineRule="auto"/>
        <w:jc w:val="both"/>
        <w:rPr>
          <w:rFonts w:ascii="Arial" w:eastAsia="Calibri" w:hAnsi="Arial" w:cs="Arial"/>
          <w:sz w:val="20"/>
          <w:szCs w:val="20"/>
        </w:rPr>
      </w:pPr>
    </w:p>
    <w:p w14:paraId="6C37CF0D"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To meet higher requirements for the protection of pharmaceutical and agro-chemicals testing data, the 2022 IP Law has supplemented two provisions in Article 128 to define the obligations of the licensing agencies to comply, except for cases where the secret is independently created (Article 125.3.b) or licensing is necessary to ensure security and nutrition of the people or other urgent society’s needs.</w:t>
      </w:r>
    </w:p>
    <w:p w14:paraId="340F19A3" w14:textId="77777777" w:rsidR="005B01D6" w:rsidRPr="005B01D6" w:rsidRDefault="005B01D6" w:rsidP="005B01D6">
      <w:pPr>
        <w:spacing w:after="0" w:line="240" w:lineRule="auto"/>
        <w:jc w:val="both"/>
        <w:rPr>
          <w:rFonts w:ascii="Arial" w:eastAsia="Calibri" w:hAnsi="Arial" w:cs="Arial"/>
          <w:sz w:val="20"/>
          <w:szCs w:val="20"/>
        </w:rPr>
      </w:pPr>
    </w:p>
    <w:tbl>
      <w:tblPr>
        <w:tblStyle w:val="TableGrid"/>
        <w:tblW w:w="9747"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ayout w:type="fixed"/>
        <w:tblLook w:val="04A0" w:firstRow="1" w:lastRow="0" w:firstColumn="1" w:lastColumn="0" w:noHBand="0" w:noVBand="1"/>
      </w:tblPr>
      <w:tblGrid>
        <w:gridCol w:w="2245"/>
        <w:gridCol w:w="7502"/>
      </w:tblGrid>
      <w:tr w:rsidR="005B01D6" w:rsidRPr="005B01D6" w14:paraId="5FD429DD" w14:textId="77777777" w:rsidTr="004D6EB4">
        <w:tc>
          <w:tcPr>
            <w:tcW w:w="2245" w:type="dxa"/>
          </w:tcPr>
          <w:p w14:paraId="42575C0E" w14:textId="77777777" w:rsidR="005B01D6" w:rsidRPr="005B01D6" w:rsidRDefault="005B01D6" w:rsidP="00287D85">
            <w:pPr>
              <w:jc w:val="center"/>
              <w:rPr>
                <w:rFonts w:ascii="Arial" w:eastAsia="Calibri" w:hAnsi="Arial" w:cs="Arial"/>
                <w:b/>
                <w:bCs/>
                <w:sz w:val="20"/>
                <w:szCs w:val="20"/>
              </w:rPr>
            </w:pPr>
            <w:r w:rsidRPr="005B01D6">
              <w:rPr>
                <w:rFonts w:ascii="Arial" w:eastAsia="Calibri" w:hAnsi="Arial" w:cs="Arial"/>
                <w:b/>
                <w:bCs/>
                <w:sz w:val="20"/>
                <w:szCs w:val="20"/>
              </w:rPr>
              <w:t>Subject matters</w:t>
            </w:r>
          </w:p>
        </w:tc>
        <w:tc>
          <w:tcPr>
            <w:tcW w:w="7502" w:type="dxa"/>
          </w:tcPr>
          <w:p w14:paraId="2C7356C2" w14:textId="77777777" w:rsidR="005B01D6" w:rsidRPr="005B01D6" w:rsidRDefault="005B01D6" w:rsidP="00287D85">
            <w:pPr>
              <w:jc w:val="center"/>
              <w:rPr>
                <w:rFonts w:ascii="Arial" w:eastAsia="Calibri" w:hAnsi="Arial" w:cs="Arial"/>
                <w:b/>
                <w:bCs/>
                <w:sz w:val="20"/>
                <w:szCs w:val="20"/>
              </w:rPr>
            </w:pPr>
            <w:r w:rsidRPr="005B01D6">
              <w:rPr>
                <w:rFonts w:ascii="Arial" w:eastAsia="Calibri" w:hAnsi="Arial" w:cs="Arial"/>
                <w:b/>
                <w:bCs/>
                <w:sz w:val="20"/>
                <w:szCs w:val="20"/>
              </w:rPr>
              <w:t>Obligations of the licensing agencies in Vietnam</w:t>
            </w:r>
          </w:p>
        </w:tc>
      </w:tr>
      <w:tr w:rsidR="005B01D6" w:rsidRPr="005B01D6" w14:paraId="0F5A75F8" w14:textId="77777777" w:rsidTr="004D6EB4">
        <w:tc>
          <w:tcPr>
            <w:tcW w:w="2245" w:type="dxa"/>
          </w:tcPr>
          <w:p w14:paraId="6956F7DF"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bCs/>
                <w:sz w:val="20"/>
                <w:szCs w:val="20"/>
              </w:rPr>
              <w:t>Pharmaceuticals</w:t>
            </w:r>
          </w:p>
        </w:tc>
        <w:tc>
          <w:tcPr>
            <w:tcW w:w="7502" w:type="dxa"/>
          </w:tcPr>
          <w:p w14:paraId="48701821" w14:textId="5A7E1F2B" w:rsidR="005B01D6" w:rsidRPr="005B01D6" w:rsidRDefault="005B01D6" w:rsidP="005B01D6">
            <w:pPr>
              <w:jc w:val="both"/>
              <w:rPr>
                <w:rFonts w:ascii="Arial" w:eastAsia="Calibri" w:hAnsi="Arial" w:cs="Arial"/>
                <w:i/>
                <w:iCs/>
                <w:sz w:val="20"/>
                <w:szCs w:val="20"/>
              </w:rPr>
            </w:pPr>
            <w:r w:rsidRPr="005B01D6">
              <w:rPr>
                <w:rFonts w:ascii="Arial" w:eastAsia="Calibri" w:hAnsi="Arial" w:cs="Arial"/>
                <w:i/>
                <w:iCs/>
                <w:sz w:val="20"/>
                <w:szCs w:val="20"/>
              </w:rPr>
              <w:t xml:space="preserve">The licensing agency must publish on its websites within five months before pharmaceuticals in a later application are approved for marketing if it allows the applicant of the later application to rely on an approved pharmaceutical or data </w:t>
            </w:r>
            <w:r w:rsidR="001D7359" w:rsidRPr="00A451ED">
              <w:rPr>
                <w:rFonts w:ascii="Arial" w:hAnsi="Arial" w:cs="Arial"/>
                <w:bCs/>
                <w:noProof/>
                <w:color w:val="C00000"/>
                <w:sz w:val="24"/>
                <w:szCs w:val="24"/>
                <w:lang w:eastAsia="ko-KR"/>
              </w:rPr>
              <w:lastRenderedPageBreak/>
              <mc:AlternateContent>
                <mc:Choice Requires="wps">
                  <w:drawing>
                    <wp:anchor distT="0" distB="0" distL="114300" distR="114300" simplePos="0" relativeHeight="251675648" behindDoc="0" locked="0" layoutInCell="1" allowOverlap="1" wp14:anchorId="68BBD440" wp14:editId="52603F87">
                      <wp:simplePos x="0" y="0"/>
                      <wp:positionH relativeFrom="column">
                        <wp:posOffset>4931410</wp:posOffset>
                      </wp:positionH>
                      <wp:positionV relativeFrom="paragraph">
                        <wp:posOffset>-583565</wp:posOffset>
                      </wp:positionV>
                      <wp:extent cx="323850" cy="10572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F9224E" w14:textId="77777777" w:rsidR="001D7359" w:rsidRDefault="001D7359" w:rsidP="001D7359">
                                  <w:pPr>
                                    <w:spacing w:after="0" w:line="240" w:lineRule="auto"/>
                                    <w:jc w:val="center"/>
                                    <w:rPr>
                                      <w:rFonts w:ascii="Arial" w:hAnsi="Arial" w:cs="Arial"/>
                                      <w:color w:val="FFFFFF" w:themeColor="background1"/>
                                    </w:rPr>
                                  </w:pPr>
                                </w:p>
                                <w:p w14:paraId="5AA61195" w14:textId="77777777" w:rsidR="001D7359" w:rsidRPr="00454E68" w:rsidRDefault="001D7359" w:rsidP="001D7359">
                                  <w:pPr>
                                    <w:spacing w:after="0" w:line="240" w:lineRule="auto"/>
                                    <w:jc w:val="center"/>
                                    <w:rPr>
                                      <w:rFonts w:ascii="Arial" w:hAnsi="Arial" w:cs="Arial"/>
                                      <w:color w:val="FFFFFF" w:themeColor="background1"/>
                                      <w:sz w:val="18"/>
                                      <w:szCs w:val="18"/>
                                    </w:rPr>
                                  </w:pPr>
                                </w:p>
                                <w:p w14:paraId="2FFD55B9" w14:textId="77777777" w:rsidR="001D7359" w:rsidRPr="001D7359" w:rsidRDefault="001D7359" w:rsidP="001D7359">
                                  <w:pPr>
                                    <w:spacing w:after="0" w:line="240" w:lineRule="auto"/>
                                    <w:rPr>
                                      <w:rFonts w:ascii="Arial" w:hAnsi="Arial" w:cs="Arial"/>
                                      <w:b/>
                                      <w:color w:val="FFFFFF" w:themeColor="background1"/>
                                      <w:sz w:val="20"/>
                                      <w:szCs w:val="20"/>
                                    </w:rPr>
                                  </w:pPr>
                                  <w:r w:rsidRPr="00454E68">
                                    <w:rPr>
                                      <w:rFonts w:ascii="Arial" w:hAnsi="Arial" w:cs="Arial"/>
                                      <w:color w:val="FFFFFF" w:themeColor="background1"/>
                                      <w:sz w:val="18"/>
                                      <w:szCs w:val="18"/>
                                    </w:rPr>
                                    <w:t xml:space="preserve">            </w:t>
                                  </w:r>
                                  <w:r w:rsidRPr="001D7359">
                                    <w:rPr>
                                      <w:rFonts w:ascii="Arial" w:hAnsi="Arial" w:cs="Arial"/>
                                      <w:b/>
                                      <w:color w:val="FFFFFF" w:themeColor="background1"/>
                                      <w:sz w:val="20"/>
                                      <w:szCs w:val="20"/>
                                    </w:rPr>
                                    <w:t>Patent in Vietnam</w:t>
                                  </w:r>
                                </w:p>
                                <w:p w14:paraId="24CE76D2" w14:textId="77777777" w:rsidR="001D7359" w:rsidRDefault="001D7359" w:rsidP="001D7359">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2" style="position:absolute;left:0;text-align:left;margin-left:388.3pt;margin-top:-45.95pt;width:25.5pt;height:8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" fillcolor="#00b39c" strokecolor="#00b39c" strokeweight="1pt">
                      <v:textbox style="layout-flow:vertical">
                        <w:txbxContent>
                          <w:p w14:paraId="72F9224E" w14:textId="77777777" w:rsidR="001D7359" w:rsidRDefault="001D7359" w:rsidP="001D7359">
                            <w:pPr>
                              <w:spacing w:after="0" w:line="240" w:lineRule="auto"/>
                              <w:jc w:val="center"/>
                              <w:rPr>
                                <w:rFonts w:ascii="Arial" w:hAnsi="Arial" w:cs="Arial"/>
                                <w:color w:val="FFFFFF" w:themeColor="background1"/>
                              </w:rPr>
                            </w:pPr>
                          </w:p>
                          <w:p w14:paraId="5AA61195" w14:textId="77777777" w:rsidR="001D7359" w:rsidRPr="00454E68" w:rsidRDefault="001D7359" w:rsidP="001D7359">
                            <w:pPr>
                              <w:spacing w:after="0" w:line="240" w:lineRule="auto"/>
                              <w:jc w:val="center"/>
                              <w:rPr>
                                <w:rFonts w:ascii="Arial" w:hAnsi="Arial" w:cs="Arial"/>
                                <w:color w:val="FFFFFF" w:themeColor="background1"/>
                                <w:sz w:val="18"/>
                                <w:szCs w:val="18"/>
                              </w:rPr>
                            </w:pPr>
                          </w:p>
                          <w:p w14:paraId="2FFD55B9" w14:textId="77777777" w:rsidR="001D7359" w:rsidRPr="001D7359" w:rsidRDefault="001D7359" w:rsidP="001D7359">
                            <w:pPr>
                              <w:spacing w:after="0" w:line="240" w:lineRule="auto"/>
                              <w:rPr>
                                <w:rFonts w:ascii="Arial" w:hAnsi="Arial" w:cs="Arial"/>
                                <w:b/>
                                <w:color w:val="FFFFFF" w:themeColor="background1"/>
                                <w:sz w:val="20"/>
                                <w:szCs w:val="20"/>
                              </w:rPr>
                            </w:pPr>
                            <w:r w:rsidRPr="00454E68">
                              <w:rPr>
                                <w:rFonts w:ascii="Arial" w:hAnsi="Arial" w:cs="Arial"/>
                                <w:color w:val="FFFFFF" w:themeColor="background1"/>
                                <w:sz w:val="18"/>
                                <w:szCs w:val="18"/>
                              </w:rPr>
                              <w:t xml:space="preserve">            </w:t>
                            </w:r>
                            <w:r w:rsidRPr="001D7359">
                              <w:rPr>
                                <w:rFonts w:ascii="Arial" w:hAnsi="Arial" w:cs="Arial"/>
                                <w:b/>
                                <w:color w:val="FFFFFF" w:themeColor="background1"/>
                                <w:sz w:val="20"/>
                                <w:szCs w:val="20"/>
                              </w:rPr>
                              <w:t>Patent in Vietnam</w:t>
                            </w:r>
                          </w:p>
                          <w:p w14:paraId="24CE76D2" w14:textId="77777777" w:rsidR="001D7359" w:rsidRDefault="001D7359" w:rsidP="001D7359">
                            <w:pPr>
                              <w:jc w:val="center"/>
                            </w:pPr>
                          </w:p>
                        </w:txbxContent>
                      </v:textbox>
                    </v:rect>
                  </w:pict>
                </mc:Fallback>
              </mc:AlternateContent>
            </w:r>
            <w:r w:rsidRPr="005B01D6">
              <w:rPr>
                <w:rFonts w:ascii="Arial" w:eastAsia="Calibri" w:hAnsi="Arial" w:cs="Arial"/>
                <w:i/>
                <w:iCs/>
                <w:sz w:val="20"/>
                <w:szCs w:val="20"/>
              </w:rPr>
              <w:t>tested for its safety and efficacy of an approved pharmaceutical to apply for marketing authorization for another pharmaceutical.</w:t>
            </w:r>
          </w:p>
        </w:tc>
      </w:tr>
      <w:tr w:rsidR="005B01D6" w:rsidRPr="005B01D6" w14:paraId="0E889784" w14:textId="77777777" w:rsidTr="004D6EB4">
        <w:tc>
          <w:tcPr>
            <w:tcW w:w="2245" w:type="dxa"/>
          </w:tcPr>
          <w:p w14:paraId="1C6C659E"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sz w:val="20"/>
                <w:szCs w:val="20"/>
              </w:rPr>
              <w:lastRenderedPageBreak/>
              <w:t>Agricultural chemicals</w:t>
            </w:r>
          </w:p>
          <w:p w14:paraId="05830C8F" w14:textId="77777777" w:rsidR="005B01D6" w:rsidRPr="005B01D6" w:rsidRDefault="005B01D6" w:rsidP="005B01D6">
            <w:pPr>
              <w:jc w:val="both"/>
              <w:rPr>
                <w:rFonts w:ascii="Arial" w:eastAsia="Calibri" w:hAnsi="Arial" w:cs="Arial"/>
                <w:sz w:val="20"/>
                <w:szCs w:val="20"/>
              </w:rPr>
            </w:pPr>
            <w:r w:rsidRPr="005B01D6">
              <w:rPr>
                <w:rFonts w:ascii="Arial" w:eastAsia="Calibri" w:hAnsi="Arial" w:cs="Arial"/>
                <w:sz w:val="20"/>
                <w:szCs w:val="20"/>
              </w:rPr>
              <w:t>(</w:t>
            </w:r>
            <w:proofErr w:type="gramStart"/>
            <w:r w:rsidRPr="005B01D6">
              <w:rPr>
                <w:rFonts w:ascii="Arial" w:eastAsia="Calibri" w:hAnsi="Arial" w:cs="Arial"/>
                <w:i/>
                <w:sz w:val="20"/>
                <w:szCs w:val="20"/>
              </w:rPr>
              <w:t>pesticide</w:t>
            </w:r>
            <w:proofErr w:type="gramEnd"/>
            <w:r w:rsidRPr="005B01D6">
              <w:rPr>
                <w:rFonts w:ascii="Arial" w:eastAsia="Calibri" w:hAnsi="Arial" w:cs="Arial"/>
                <w:i/>
                <w:sz w:val="20"/>
                <w:szCs w:val="20"/>
              </w:rPr>
              <w:t>, veterinary drugs, fertilizers, etc.)</w:t>
            </w:r>
          </w:p>
        </w:tc>
        <w:tc>
          <w:tcPr>
            <w:tcW w:w="7502" w:type="dxa"/>
          </w:tcPr>
          <w:p w14:paraId="0F85793B" w14:textId="77777777" w:rsidR="005B01D6" w:rsidRPr="005B01D6" w:rsidRDefault="005B01D6" w:rsidP="005B01D6">
            <w:pPr>
              <w:jc w:val="both"/>
              <w:rPr>
                <w:rFonts w:ascii="Arial" w:eastAsia="Calibri" w:hAnsi="Arial" w:cs="Arial"/>
                <w:i/>
                <w:iCs/>
                <w:sz w:val="20"/>
                <w:szCs w:val="20"/>
              </w:rPr>
            </w:pPr>
            <w:r w:rsidRPr="005B01D6">
              <w:rPr>
                <w:rFonts w:ascii="Arial" w:eastAsia="Calibri" w:hAnsi="Arial" w:cs="Arial"/>
                <w:i/>
                <w:iCs/>
                <w:sz w:val="20"/>
                <w:szCs w:val="20"/>
              </w:rPr>
              <w:t>The licensing agency may not issue an authorization to the applicant with a later filing date if the application contains confidential data or relies on the submission of the confidential data to be authorized for circulation without the consent of the submitter of such data within 10 years from the time when the confidential data in the application is submitted to the competent authority.</w:t>
            </w:r>
          </w:p>
        </w:tc>
      </w:tr>
    </w:tbl>
    <w:p w14:paraId="29295695" w14:textId="77777777" w:rsidR="005B01D6" w:rsidRPr="005B01D6" w:rsidRDefault="005B01D6" w:rsidP="005B01D6">
      <w:pPr>
        <w:spacing w:after="0" w:line="240" w:lineRule="auto"/>
        <w:jc w:val="both"/>
        <w:rPr>
          <w:rFonts w:ascii="Arial" w:eastAsia="Calibri" w:hAnsi="Arial" w:cs="Arial"/>
          <w:b/>
          <w:bCs/>
          <w:sz w:val="20"/>
          <w:szCs w:val="20"/>
        </w:rPr>
      </w:pPr>
    </w:p>
    <w:p w14:paraId="31EB4B60" w14:textId="77777777" w:rsidR="005B01D6" w:rsidRPr="005B01D6" w:rsidRDefault="005B01D6" w:rsidP="005B01D6">
      <w:pPr>
        <w:spacing w:after="0" w:line="240" w:lineRule="auto"/>
        <w:jc w:val="both"/>
        <w:rPr>
          <w:rFonts w:ascii="Arial" w:hAnsi="Arial" w:cs="Arial"/>
          <w:b/>
          <w:bCs/>
          <w:color w:val="0070C0"/>
          <w:sz w:val="20"/>
          <w:szCs w:val="20"/>
        </w:rPr>
      </w:pPr>
      <w:r w:rsidRPr="005B01D6">
        <w:rPr>
          <w:rFonts w:ascii="Arial" w:hAnsi="Arial" w:cs="Arial"/>
          <w:b/>
          <w:bCs/>
          <w:color w:val="0070C0"/>
          <w:sz w:val="20"/>
          <w:szCs w:val="20"/>
        </w:rPr>
        <w:t>10. Requirement for supplementing documents on genetic resources and traditional knowledge in the general requirements for patent applications in Vietnam</w:t>
      </w:r>
    </w:p>
    <w:p w14:paraId="2AB77306" w14:textId="77777777" w:rsidR="005B01D6" w:rsidRPr="005B01D6" w:rsidRDefault="005B01D6" w:rsidP="005B01D6">
      <w:pPr>
        <w:spacing w:after="0" w:line="240" w:lineRule="auto"/>
        <w:jc w:val="both"/>
        <w:rPr>
          <w:rFonts w:ascii="Arial" w:eastAsia="Calibri" w:hAnsi="Arial" w:cs="Arial"/>
          <w:sz w:val="20"/>
          <w:szCs w:val="20"/>
        </w:rPr>
      </w:pPr>
    </w:p>
    <w:p w14:paraId="5AC47C27"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For inventions directly created by virtue of genetic resources or traditional knowledge of genetic resources, applicant for inventions related to genetic resources or traditional knowledge of genetic resources is required to provide documents containing explanati</w:t>
      </w:r>
      <w:r w:rsidRPr="005B01D6">
        <w:rPr>
          <w:rFonts w:ascii="Calibri" w:eastAsia="Calibri" w:hAnsi="Calibri" w:cs="Arial"/>
        </w:rPr>
        <w:t>on about</w:t>
      </w:r>
      <w:r w:rsidRPr="005B01D6">
        <w:rPr>
          <w:rFonts w:ascii="Arial" w:eastAsia="Calibri" w:hAnsi="Arial" w:cs="Arial"/>
          <w:sz w:val="20"/>
          <w:szCs w:val="20"/>
        </w:rPr>
        <w:t xml:space="preserve"> the origin of genetic resources or traditional knowledge of genetic resources pertained in the patent application.</w:t>
      </w:r>
    </w:p>
    <w:p w14:paraId="3EDBCF3E" w14:textId="77777777" w:rsidR="005B01D6" w:rsidRPr="005B01D6" w:rsidRDefault="005B01D6" w:rsidP="005B01D6">
      <w:pPr>
        <w:spacing w:after="0" w:line="240" w:lineRule="auto"/>
        <w:jc w:val="both"/>
        <w:rPr>
          <w:rFonts w:ascii="Arial" w:eastAsia="Calibri" w:hAnsi="Arial" w:cs="Arial"/>
          <w:sz w:val="20"/>
          <w:szCs w:val="20"/>
        </w:rPr>
      </w:pPr>
    </w:p>
    <w:p w14:paraId="11AA46A8"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The requirement for such supplementation of disclosure documents will contribute to control inventions using genetic resources and traditional knowledge of genetic resources to ensure an adequate and balanced level of protection of rights to inventions as well as harmonization of interests</w:t>
      </w:r>
      <w:r w:rsidRPr="005B01D6" w:rsidDel="004F09A5">
        <w:rPr>
          <w:rFonts w:ascii="Arial" w:eastAsia="Calibri" w:hAnsi="Arial" w:cs="Arial"/>
          <w:sz w:val="20"/>
          <w:szCs w:val="20"/>
        </w:rPr>
        <w:t xml:space="preserve"> </w:t>
      </w:r>
      <w:r w:rsidRPr="005B01D6">
        <w:rPr>
          <w:rFonts w:ascii="Arial" w:eastAsia="Calibri" w:hAnsi="Arial" w:cs="Arial"/>
          <w:sz w:val="20"/>
          <w:szCs w:val="20"/>
        </w:rPr>
        <w:t>resulting from the use of genetic resources.</w:t>
      </w:r>
    </w:p>
    <w:p w14:paraId="4C65594C" w14:textId="77777777" w:rsidR="005B01D6" w:rsidRPr="005B01D6" w:rsidRDefault="005B01D6" w:rsidP="005B01D6">
      <w:pPr>
        <w:spacing w:after="0" w:line="240" w:lineRule="auto"/>
        <w:jc w:val="both"/>
        <w:rPr>
          <w:rFonts w:ascii="Arial" w:eastAsia="Calibri" w:hAnsi="Arial" w:cs="Arial"/>
          <w:sz w:val="20"/>
          <w:szCs w:val="20"/>
        </w:rPr>
      </w:pPr>
    </w:p>
    <w:p w14:paraId="671F9046" w14:textId="77777777" w:rsidR="005B01D6" w:rsidRPr="005B01D6" w:rsidRDefault="005B01D6" w:rsidP="005B01D6">
      <w:pPr>
        <w:spacing w:after="0" w:line="240" w:lineRule="auto"/>
        <w:jc w:val="both"/>
        <w:rPr>
          <w:rFonts w:ascii="Arial" w:hAnsi="Arial" w:cs="Arial"/>
          <w:b/>
          <w:bCs/>
          <w:color w:val="0070C0"/>
          <w:sz w:val="20"/>
          <w:szCs w:val="20"/>
        </w:rPr>
      </w:pPr>
      <w:r w:rsidRPr="005B01D6">
        <w:rPr>
          <w:rFonts w:ascii="Arial" w:hAnsi="Arial" w:cs="Arial"/>
          <w:b/>
          <w:bCs/>
          <w:color w:val="0070C0"/>
          <w:sz w:val="20"/>
          <w:szCs w:val="20"/>
        </w:rPr>
        <w:t xml:space="preserve">11. Entitlement to registration of inventions in Vietnam </w:t>
      </w:r>
    </w:p>
    <w:p w14:paraId="40EEBB33" w14:textId="77777777" w:rsidR="005B01D6" w:rsidRPr="005B01D6" w:rsidRDefault="005B01D6" w:rsidP="005B01D6">
      <w:pPr>
        <w:spacing w:after="0" w:line="240" w:lineRule="auto"/>
        <w:jc w:val="both"/>
        <w:rPr>
          <w:rFonts w:ascii="Arial" w:eastAsia="Calibri" w:hAnsi="Arial" w:cs="Arial"/>
          <w:sz w:val="20"/>
          <w:szCs w:val="20"/>
        </w:rPr>
      </w:pPr>
    </w:p>
    <w:p w14:paraId="21907157"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The legal provisions on the right to register IP subject matters which are created by using the state budget are mutually inconsistent and not entirely compatible with the provisions of the Law on Management and Use of Public Property, resulting in a lack of a real incentive</w:t>
      </w:r>
      <w:r w:rsidRPr="005B01D6" w:rsidDel="002C6CC0">
        <w:rPr>
          <w:rFonts w:ascii="Arial" w:eastAsia="Calibri" w:hAnsi="Arial" w:cs="Arial"/>
          <w:sz w:val="20"/>
          <w:szCs w:val="20"/>
        </w:rPr>
        <w:t xml:space="preserve"> </w:t>
      </w:r>
      <w:r w:rsidRPr="005B01D6">
        <w:rPr>
          <w:rFonts w:ascii="Arial" w:eastAsia="Calibri" w:hAnsi="Arial" w:cs="Arial"/>
          <w:sz w:val="20"/>
          <w:szCs w:val="20"/>
        </w:rPr>
        <w:t>for IP right holders in the exploitation and commercialization of IP subject matters.</w:t>
      </w:r>
    </w:p>
    <w:p w14:paraId="3D58D9F7" w14:textId="77777777" w:rsidR="005B01D6" w:rsidRPr="005B01D6" w:rsidRDefault="005B01D6" w:rsidP="005B01D6">
      <w:pPr>
        <w:spacing w:after="0" w:line="240" w:lineRule="auto"/>
        <w:jc w:val="both"/>
        <w:rPr>
          <w:rFonts w:ascii="Arial" w:eastAsia="Calibri" w:hAnsi="Arial" w:cs="Arial"/>
          <w:sz w:val="20"/>
          <w:szCs w:val="20"/>
        </w:rPr>
      </w:pPr>
    </w:p>
    <w:p w14:paraId="14AEBDE3"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 xml:space="preserve">To remedy this, Article 86a has been added, which stipulates that the right to register an invention which is the outcome of a state-funded scientific and technological task </w:t>
      </w:r>
      <w:r w:rsidRPr="005B01D6">
        <w:rPr>
          <w:rFonts w:ascii="Arial" w:eastAsia="Calibri" w:hAnsi="Arial" w:cs="Arial"/>
          <w:sz w:val="20"/>
          <w:szCs w:val="20"/>
          <w:u w:val="single"/>
        </w:rPr>
        <w:t>belongs to organization in charge of science and technology tasks</w:t>
      </w:r>
      <w:r w:rsidRPr="005B01D6">
        <w:rPr>
          <w:rFonts w:ascii="Arial" w:eastAsia="Calibri" w:hAnsi="Arial" w:cs="Arial"/>
          <w:sz w:val="20"/>
          <w:szCs w:val="20"/>
        </w:rPr>
        <w:t xml:space="preserve"> and </w:t>
      </w:r>
      <w:r w:rsidRPr="005B01D6">
        <w:rPr>
          <w:rFonts w:ascii="Arial" w:eastAsia="Calibri" w:hAnsi="Arial" w:cs="Arial"/>
          <w:sz w:val="20"/>
          <w:szCs w:val="20"/>
          <w:u w:val="single"/>
        </w:rPr>
        <w:t>this organization will become the owner of the invention</w:t>
      </w:r>
      <w:r w:rsidRPr="005B01D6">
        <w:rPr>
          <w:rFonts w:ascii="Arial" w:eastAsia="Calibri" w:hAnsi="Arial" w:cs="Arial"/>
          <w:sz w:val="20"/>
          <w:szCs w:val="20"/>
        </w:rPr>
        <w:t>, with the exception of inventions, industrial designs, layout designs in the field of national defense and security, which will be registered and owned by the State.</w:t>
      </w:r>
    </w:p>
    <w:p w14:paraId="0EB76930" w14:textId="77777777" w:rsidR="005B01D6" w:rsidRPr="005B01D6" w:rsidRDefault="005B01D6" w:rsidP="005B01D6">
      <w:pPr>
        <w:spacing w:after="0" w:line="240" w:lineRule="auto"/>
        <w:jc w:val="both"/>
        <w:rPr>
          <w:rFonts w:ascii="Arial" w:eastAsia="Calibri" w:hAnsi="Arial" w:cs="Arial"/>
          <w:sz w:val="20"/>
          <w:szCs w:val="20"/>
        </w:rPr>
      </w:pPr>
    </w:p>
    <w:p w14:paraId="2D4B0100"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In addition, the 2022 IP Law has supplemented Article 133a, which establishes cases where the State assigns the right to register inventions as a result of state-funded scientific and technological tasks to other organizations and individuals, and cases where the State allows other organizations and individuals to use the invention, without the consent of the holder of the exclusive right. Besides, the 2022 IP Law also specifies the obligations that the owner must pay the inventor, the obligation to pay compensation when using the invention, and obligations of the state organization for inventions resulting from state-funded scientific and technological tasks.</w:t>
      </w:r>
    </w:p>
    <w:p w14:paraId="31721712" w14:textId="77777777" w:rsidR="005B01D6" w:rsidRPr="005B01D6" w:rsidRDefault="005B01D6" w:rsidP="005B01D6">
      <w:pPr>
        <w:spacing w:after="0" w:line="240" w:lineRule="auto"/>
        <w:jc w:val="both"/>
        <w:rPr>
          <w:rFonts w:ascii="Arial" w:eastAsia="Calibri" w:hAnsi="Arial" w:cs="Arial"/>
          <w:sz w:val="20"/>
          <w:szCs w:val="20"/>
        </w:rPr>
      </w:pPr>
    </w:p>
    <w:p w14:paraId="00EBDE9E"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 xml:space="preserve">Another important addition to the 2022 IP law is that organizations and </w:t>
      </w:r>
      <w:proofErr w:type="gramStart"/>
      <w:r w:rsidRPr="005B01D6">
        <w:rPr>
          <w:rFonts w:ascii="Arial" w:eastAsia="Calibri" w:hAnsi="Arial" w:cs="Arial"/>
          <w:sz w:val="20"/>
          <w:szCs w:val="20"/>
        </w:rPr>
        <w:t>individuals</w:t>
      </w:r>
      <w:proofErr w:type="gramEnd"/>
      <w:r w:rsidRPr="005B01D6">
        <w:rPr>
          <w:rFonts w:ascii="Arial" w:eastAsia="Calibri" w:hAnsi="Arial" w:cs="Arial"/>
          <w:sz w:val="20"/>
          <w:szCs w:val="20"/>
        </w:rPr>
        <w:t xml:space="preserve"> who are assigned to manage genetic resources and provide genetic resources and traditional knowledge about genetic resources under contracts for accessing genetic resources and sharing benefits, unless otherwise agreed between parties, shall have the right to register an invention.</w:t>
      </w:r>
    </w:p>
    <w:p w14:paraId="73C7F50A" w14:textId="77777777" w:rsidR="005B01D6" w:rsidRPr="005B01D6" w:rsidRDefault="005B01D6" w:rsidP="005B01D6">
      <w:pPr>
        <w:spacing w:after="0" w:line="240" w:lineRule="auto"/>
        <w:jc w:val="both"/>
        <w:rPr>
          <w:rFonts w:ascii="Arial" w:eastAsia="Calibri" w:hAnsi="Arial" w:cs="Arial"/>
          <w:sz w:val="20"/>
          <w:szCs w:val="20"/>
        </w:rPr>
      </w:pPr>
    </w:p>
    <w:p w14:paraId="59106FD4" w14:textId="77777777" w:rsidR="005B01D6" w:rsidRPr="005B01D6" w:rsidRDefault="005B01D6" w:rsidP="005B01D6">
      <w:pPr>
        <w:spacing w:after="0" w:line="240" w:lineRule="auto"/>
        <w:jc w:val="both"/>
        <w:rPr>
          <w:rFonts w:ascii="Arial" w:hAnsi="Arial" w:cs="Arial"/>
          <w:b/>
          <w:bCs/>
          <w:color w:val="0070C0"/>
          <w:sz w:val="20"/>
          <w:szCs w:val="20"/>
        </w:rPr>
      </w:pPr>
      <w:r w:rsidRPr="005B01D6">
        <w:rPr>
          <w:rFonts w:ascii="Arial" w:hAnsi="Arial" w:cs="Arial"/>
          <w:b/>
          <w:bCs/>
          <w:color w:val="0070C0"/>
          <w:sz w:val="20"/>
          <w:szCs w:val="20"/>
        </w:rPr>
        <w:t>12. Confidential inventions in Vietnam</w:t>
      </w:r>
    </w:p>
    <w:p w14:paraId="669EEC4F" w14:textId="77777777" w:rsidR="005B01D6" w:rsidRPr="005B01D6" w:rsidRDefault="005B01D6" w:rsidP="005B01D6">
      <w:pPr>
        <w:spacing w:after="0" w:line="240" w:lineRule="auto"/>
        <w:jc w:val="both"/>
        <w:rPr>
          <w:rFonts w:ascii="Arial" w:eastAsia="Calibri" w:hAnsi="Arial" w:cs="Arial"/>
          <w:sz w:val="20"/>
          <w:szCs w:val="20"/>
        </w:rPr>
      </w:pPr>
    </w:p>
    <w:p w14:paraId="79DC79CC"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 xml:space="preserve">The 2022 IP Law introduces for the first- time separate provisions governing confidential inventions. Accordingly, Clause 12a of Article 4 defines a confidential invention as </w:t>
      </w:r>
      <w:r w:rsidRPr="005B01D6">
        <w:rPr>
          <w:rFonts w:ascii="Arial" w:eastAsia="Calibri" w:hAnsi="Arial" w:cs="Arial"/>
          <w:i/>
          <w:sz w:val="20"/>
          <w:szCs w:val="20"/>
        </w:rPr>
        <w:t xml:space="preserve">"is an invention that is determined by a competent state agency to be </w:t>
      </w:r>
      <w:r w:rsidRPr="005B01D6">
        <w:rPr>
          <w:rFonts w:ascii="Arial" w:eastAsia="Calibri" w:hAnsi="Arial" w:cs="Arial"/>
          <w:b/>
          <w:i/>
          <w:sz w:val="20"/>
          <w:szCs w:val="20"/>
        </w:rPr>
        <w:t>a state secret</w:t>
      </w:r>
      <w:r w:rsidRPr="005B01D6">
        <w:rPr>
          <w:rFonts w:ascii="Arial" w:eastAsia="Calibri" w:hAnsi="Arial" w:cs="Arial"/>
          <w:i/>
          <w:sz w:val="20"/>
          <w:szCs w:val="20"/>
        </w:rPr>
        <w:t xml:space="preserve"> according to the law on protection of state secrets"</w:t>
      </w:r>
      <w:r w:rsidRPr="005B01D6">
        <w:rPr>
          <w:rFonts w:ascii="Arial" w:eastAsia="Calibri" w:hAnsi="Arial" w:cs="Arial"/>
          <w:sz w:val="20"/>
          <w:szCs w:val="20"/>
        </w:rPr>
        <w:t>. The application for patenting confidential invention and the procedure for obtaining a patent for a confidential invention will be guided in detail pursuant to a Government's Decree.</w:t>
      </w:r>
    </w:p>
    <w:p w14:paraId="1A3984EB" w14:textId="77777777" w:rsidR="005B01D6" w:rsidRPr="005B01D6" w:rsidRDefault="005B01D6" w:rsidP="005B01D6">
      <w:pPr>
        <w:spacing w:after="0" w:line="240" w:lineRule="auto"/>
        <w:jc w:val="both"/>
        <w:rPr>
          <w:rFonts w:ascii="Arial" w:eastAsia="Calibri" w:hAnsi="Arial" w:cs="Arial"/>
          <w:sz w:val="20"/>
          <w:szCs w:val="20"/>
        </w:rPr>
      </w:pPr>
    </w:p>
    <w:p w14:paraId="2BACDDF3" w14:textId="4CE18BBA" w:rsidR="005B01D6" w:rsidRPr="005B01D6" w:rsidRDefault="005B01D6" w:rsidP="005B01D6">
      <w:pPr>
        <w:spacing w:after="0" w:line="240" w:lineRule="auto"/>
        <w:jc w:val="both"/>
        <w:rPr>
          <w:rFonts w:ascii="Calibri" w:eastAsia="Calibri" w:hAnsi="Calibri" w:cs="Arial"/>
          <w:b/>
          <w:bCs/>
        </w:rPr>
      </w:pPr>
      <w:r w:rsidRPr="005B01D6">
        <w:rPr>
          <w:rFonts w:ascii="Arial" w:eastAsia="Calibri" w:hAnsi="Arial" w:cs="Arial"/>
          <w:sz w:val="20"/>
          <w:szCs w:val="20"/>
        </w:rPr>
        <w:t xml:space="preserve">State secret refers to non-disclosed information </w:t>
      </w:r>
      <w:proofErr w:type="gramStart"/>
      <w:r w:rsidRPr="005B01D6">
        <w:rPr>
          <w:rFonts w:ascii="Arial" w:eastAsia="Calibri" w:hAnsi="Arial" w:cs="Arial"/>
          <w:sz w:val="20"/>
          <w:szCs w:val="20"/>
        </w:rPr>
        <w:t>carrying important contents which is</w:t>
      </w:r>
      <w:proofErr w:type="gramEnd"/>
      <w:r w:rsidRPr="005B01D6">
        <w:rPr>
          <w:rFonts w:ascii="Arial" w:eastAsia="Calibri" w:hAnsi="Arial" w:cs="Arial"/>
          <w:sz w:val="20"/>
          <w:szCs w:val="20"/>
        </w:rPr>
        <w:t xml:space="preserve"> specified by the head of a competent body or organization in compliance with the applicable law and the unauthorized</w:t>
      </w:r>
      <w:r w:rsidRPr="005B01D6">
        <w:rPr>
          <w:rFonts w:ascii="Calibri" w:eastAsia="Calibri" w:hAnsi="Calibri" w:cs="Arial"/>
          <w:color w:val="000000"/>
          <w:sz w:val="27"/>
          <w:szCs w:val="27"/>
        </w:rPr>
        <w:t> </w:t>
      </w:r>
      <w:r w:rsidRPr="005B01D6">
        <w:rPr>
          <w:rFonts w:ascii="Arial" w:eastAsia="Calibri" w:hAnsi="Arial" w:cs="Arial"/>
          <w:sz w:val="20"/>
          <w:szCs w:val="20"/>
        </w:rPr>
        <w:t xml:space="preserve">disclosure or loss of which shall cause damage to the national interest/security. Because of the importance of confidential invention, detailed regulations on security control for inventions before filing patent applications abroad are supplemented in the 2022 IP Law. Specifically, when a Vietnam-based invention is applied for patent application with foreign IP Offices from other countries, it must be subject to security control if it satisfies the following four factors at the same time: (i) inventions belonging to in technical fields that affect national </w:t>
      </w:r>
      <w:r w:rsidRPr="005B01D6">
        <w:rPr>
          <w:rFonts w:ascii="Arial" w:eastAsia="Calibri" w:hAnsi="Arial" w:cs="Arial"/>
          <w:sz w:val="20"/>
          <w:szCs w:val="20"/>
        </w:rPr>
        <w:lastRenderedPageBreak/>
        <w:t xml:space="preserve">defense and security; (ii) being created in Vietnam; (iii) under the registration rights of an individual who is a Vietnamese citizen and permanently resides in Vietnam or of an organization established under Vietnamese law and (iv) being applied for a patent application in Vietnam. </w:t>
      </w:r>
    </w:p>
    <w:p w14:paraId="21CB7E0F" w14:textId="03BA35CA" w:rsidR="005B01D6" w:rsidRPr="005B01D6" w:rsidRDefault="001D7359" w:rsidP="005B01D6">
      <w:pPr>
        <w:spacing w:after="0" w:line="240" w:lineRule="auto"/>
        <w:jc w:val="both"/>
        <w:rPr>
          <w:rFonts w:ascii="Arial" w:eastAsia="Calibri" w:hAnsi="Arial" w:cs="Arial"/>
          <w:sz w:val="20"/>
          <w:szCs w:val="20"/>
        </w:rPr>
      </w:pPr>
      <w:r w:rsidRPr="00A451ED">
        <w:rPr>
          <w:rFonts w:ascii="Arial" w:hAnsi="Arial" w:cs="Arial"/>
          <w:bCs/>
          <w:noProof/>
          <w:color w:val="C00000"/>
          <w:sz w:val="24"/>
          <w:szCs w:val="24"/>
          <w:lang w:eastAsia="ko-KR"/>
        </w:rPr>
        <mc:AlternateContent>
          <mc:Choice Requires="wps">
            <w:drawing>
              <wp:anchor distT="0" distB="0" distL="114300" distR="114300" simplePos="0" relativeHeight="251677696" behindDoc="0" locked="0" layoutInCell="1" allowOverlap="1" wp14:anchorId="08B8DE21" wp14:editId="2BA02433">
                <wp:simplePos x="0" y="0"/>
                <wp:positionH relativeFrom="column">
                  <wp:posOffset>6366510</wp:posOffset>
                </wp:positionH>
                <wp:positionV relativeFrom="paragraph">
                  <wp:posOffset>-1024890</wp:posOffset>
                </wp:positionV>
                <wp:extent cx="323850" cy="10572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120C32" w14:textId="77777777" w:rsidR="001D7359" w:rsidRDefault="001D7359" w:rsidP="001D7359">
                            <w:pPr>
                              <w:spacing w:after="0" w:line="240" w:lineRule="auto"/>
                              <w:jc w:val="center"/>
                              <w:rPr>
                                <w:rFonts w:ascii="Arial" w:hAnsi="Arial" w:cs="Arial"/>
                                <w:color w:val="FFFFFF" w:themeColor="background1"/>
                              </w:rPr>
                            </w:pPr>
                          </w:p>
                          <w:p w14:paraId="416A9CC7" w14:textId="77777777" w:rsidR="001D7359" w:rsidRPr="00454E68" w:rsidRDefault="001D7359" w:rsidP="001D7359">
                            <w:pPr>
                              <w:spacing w:after="0" w:line="240" w:lineRule="auto"/>
                              <w:jc w:val="center"/>
                              <w:rPr>
                                <w:rFonts w:ascii="Arial" w:hAnsi="Arial" w:cs="Arial"/>
                                <w:color w:val="FFFFFF" w:themeColor="background1"/>
                                <w:sz w:val="18"/>
                                <w:szCs w:val="18"/>
                              </w:rPr>
                            </w:pPr>
                          </w:p>
                          <w:p w14:paraId="320D4421" w14:textId="77777777" w:rsidR="001D7359" w:rsidRPr="001D7359" w:rsidRDefault="001D7359" w:rsidP="001D7359">
                            <w:pPr>
                              <w:spacing w:after="0" w:line="240" w:lineRule="auto"/>
                              <w:rPr>
                                <w:rFonts w:ascii="Arial" w:hAnsi="Arial" w:cs="Arial"/>
                                <w:b/>
                                <w:color w:val="FFFFFF" w:themeColor="background1"/>
                                <w:sz w:val="20"/>
                                <w:szCs w:val="20"/>
                              </w:rPr>
                            </w:pPr>
                            <w:r w:rsidRPr="00454E68">
                              <w:rPr>
                                <w:rFonts w:ascii="Arial" w:hAnsi="Arial" w:cs="Arial"/>
                                <w:color w:val="FFFFFF" w:themeColor="background1"/>
                                <w:sz w:val="18"/>
                                <w:szCs w:val="18"/>
                              </w:rPr>
                              <w:t xml:space="preserve">            </w:t>
                            </w:r>
                            <w:r w:rsidRPr="001D7359">
                              <w:rPr>
                                <w:rFonts w:ascii="Arial" w:hAnsi="Arial" w:cs="Arial"/>
                                <w:b/>
                                <w:color w:val="FFFFFF" w:themeColor="background1"/>
                                <w:sz w:val="20"/>
                                <w:szCs w:val="20"/>
                              </w:rPr>
                              <w:t>Patent in Vietnam</w:t>
                            </w:r>
                          </w:p>
                          <w:p w14:paraId="41FB648E" w14:textId="77777777" w:rsidR="001D7359" w:rsidRDefault="001D7359" w:rsidP="001D7359">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3" style="position:absolute;left:0;text-align:left;margin-left:501.3pt;margin-top:-80.7pt;width:25.5pt;height:8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" fillcolor="#00b39c" strokecolor="#00b39c" strokeweight="1pt">
                <v:textbox style="layout-flow:vertical">
                  <w:txbxContent>
                    <w:p w14:paraId="1A120C32" w14:textId="77777777" w:rsidR="001D7359" w:rsidRDefault="001D7359" w:rsidP="001D7359">
                      <w:pPr>
                        <w:spacing w:after="0" w:line="240" w:lineRule="auto"/>
                        <w:jc w:val="center"/>
                        <w:rPr>
                          <w:rFonts w:ascii="Arial" w:hAnsi="Arial" w:cs="Arial"/>
                          <w:color w:val="FFFFFF" w:themeColor="background1"/>
                        </w:rPr>
                      </w:pPr>
                    </w:p>
                    <w:p w14:paraId="416A9CC7" w14:textId="77777777" w:rsidR="001D7359" w:rsidRPr="00454E68" w:rsidRDefault="001D7359" w:rsidP="001D7359">
                      <w:pPr>
                        <w:spacing w:after="0" w:line="240" w:lineRule="auto"/>
                        <w:jc w:val="center"/>
                        <w:rPr>
                          <w:rFonts w:ascii="Arial" w:hAnsi="Arial" w:cs="Arial"/>
                          <w:color w:val="FFFFFF" w:themeColor="background1"/>
                          <w:sz w:val="18"/>
                          <w:szCs w:val="18"/>
                        </w:rPr>
                      </w:pPr>
                    </w:p>
                    <w:p w14:paraId="320D4421" w14:textId="77777777" w:rsidR="001D7359" w:rsidRPr="001D7359" w:rsidRDefault="001D7359" w:rsidP="001D7359">
                      <w:pPr>
                        <w:spacing w:after="0" w:line="240" w:lineRule="auto"/>
                        <w:rPr>
                          <w:rFonts w:ascii="Arial" w:hAnsi="Arial" w:cs="Arial"/>
                          <w:b/>
                          <w:color w:val="FFFFFF" w:themeColor="background1"/>
                          <w:sz w:val="20"/>
                          <w:szCs w:val="20"/>
                        </w:rPr>
                      </w:pPr>
                      <w:r w:rsidRPr="00454E68">
                        <w:rPr>
                          <w:rFonts w:ascii="Arial" w:hAnsi="Arial" w:cs="Arial"/>
                          <w:color w:val="FFFFFF" w:themeColor="background1"/>
                          <w:sz w:val="18"/>
                          <w:szCs w:val="18"/>
                        </w:rPr>
                        <w:t xml:space="preserve">            </w:t>
                      </w:r>
                      <w:r w:rsidRPr="001D7359">
                        <w:rPr>
                          <w:rFonts w:ascii="Arial" w:hAnsi="Arial" w:cs="Arial"/>
                          <w:b/>
                          <w:color w:val="FFFFFF" w:themeColor="background1"/>
                          <w:sz w:val="20"/>
                          <w:szCs w:val="20"/>
                        </w:rPr>
                        <w:t>Patent in Vietnam</w:t>
                      </w:r>
                    </w:p>
                    <w:p w14:paraId="41FB648E" w14:textId="77777777" w:rsidR="001D7359" w:rsidRDefault="001D7359" w:rsidP="001D7359">
                      <w:pPr>
                        <w:jc w:val="center"/>
                      </w:pPr>
                    </w:p>
                  </w:txbxContent>
                </v:textbox>
              </v:rect>
            </w:pict>
          </mc:Fallback>
        </mc:AlternateContent>
      </w:r>
    </w:p>
    <w:p w14:paraId="16AFC391" w14:textId="77777777" w:rsidR="005B01D6" w:rsidRPr="005B01D6" w:rsidRDefault="005B01D6" w:rsidP="005B01D6">
      <w:pPr>
        <w:spacing w:after="0" w:line="240" w:lineRule="auto"/>
        <w:jc w:val="both"/>
        <w:rPr>
          <w:rFonts w:ascii="Arial" w:eastAsia="Calibri" w:hAnsi="Arial" w:cs="Arial"/>
          <w:sz w:val="20"/>
          <w:szCs w:val="20"/>
        </w:rPr>
      </w:pPr>
      <w:r w:rsidRPr="005B01D6">
        <w:rPr>
          <w:rFonts w:ascii="Arial" w:eastAsia="Calibri" w:hAnsi="Arial" w:cs="Arial"/>
          <w:sz w:val="20"/>
          <w:szCs w:val="20"/>
        </w:rPr>
        <w:t>Clause 12a Article 4, Article 89a, Clause 3 Article 108, Point đ and Point e Clause 2 Article 109 are supplemented to the amended IP Law to explain the concept of “confidential invention” and prescribe the related procedures to create a basis for the establishment and enforcement of regulations on confidential invention and security controls for confidential invention.</w:t>
      </w:r>
    </w:p>
    <w:p w14:paraId="6FEE5B67" w14:textId="77777777" w:rsidR="005B01D6" w:rsidRPr="005B01D6" w:rsidRDefault="005B01D6" w:rsidP="005B01D6">
      <w:pPr>
        <w:spacing w:after="0" w:line="240" w:lineRule="auto"/>
        <w:jc w:val="both"/>
        <w:rPr>
          <w:rFonts w:ascii="Arial" w:eastAsia="Calibri" w:hAnsi="Arial" w:cs="Arial"/>
          <w:sz w:val="20"/>
          <w:szCs w:val="20"/>
        </w:rPr>
      </w:pPr>
    </w:p>
    <w:p w14:paraId="2635746F" w14:textId="77777777" w:rsidR="005B01D6" w:rsidRPr="005B01D6" w:rsidRDefault="009044C9" w:rsidP="005B01D6">
      <w:pPr>
        <w:spacing w:after="0" w:line="240" w:lineRule="auto"/>
        <w:jc w:val="both"/>
        <w:rPr>
          <w:rFonts w:ascii="Arial" w:eastAsia="Calibri" w:hAnsi="Arial" w:cs="Arial"/>
          <w:sz w:val="20"/>
          <w:szCs w:val="20"/>
        </w:rPr>
      </w:pPr>
      <w:hyperlink r:id="rId8" w:tgtFrame="_blank" w:history="1">
        <w:r w:rsidR="005B01D6" w:rsidRPr="005B01D6">
          <w:rPr>
            <w:rFonts w:ascii="Arial" w:eastAsia="Calibri" w:hAnsi="Arial" w:cs="Arial"/>
            <w:b/>
            <w:bCs/>
            <w:i/>
            <w:iCs/>
            <w:color w:val="C00000"/>
            <w:sz w:val="20"/>
            <w:szCs w:val="20"/>
            <w:u w:val="single"/>
          </w:rPr>
          <w:t>KENFOX IP &amp; LAW OFFICE</w:t>
        </w:r>
      </w:hyperlink>
      <w:r w:rsidR="005B01D6" w:rsidRPr="005B01D6">
        <w:rPr>
          <w:rFonts w:ascii="Arial" w:eastAsia="Calibri" w:hAnsi="Arial" w:cs="Times New Roman"/>
          <w:color w:val="000000"/>
          <w:sz w:val="20"/>
          <w:szCs w:val="20"/>
        </w:rPr>
        <w:t xml:space="preserve">, </w:t>
      </w:r>
      <w:proofErr w:type="gramStart"/>
      <w:r w:rsidR="005B01D6" w:rsidRPr="005B01D6">
        <w:rPr>
          <w:rFonts w:ascii="Arial" w:eastAsia="Calibri" w:hAnsi="Arial" w:cs="Times New Roman"/>
          <w:color w:val="1F3864"/>
          <w:sz w:val="20"/>
          <w:szCs w:val="20"/>
        </w:rPr>
        <w:t>one of the professional IP Law,</w:t>
      </w:r>
      <w:proofErr w:type="gramEnd"/>
      <w:r w:rsidR="005B01D6" w:rsidRPr="005B01D6">
        <w:rPr>
          <w:rFonts w:ascii="Arial" w:eastAsia="Calibri" w:hAnsi="Arial" w:cs="Times New Roman"/>
          <w:color w:val="1F3864"/>
          <w:sz w:val="20"/>
          <w:szCs w:val="20"/>
        </w:rPr>
        <w:t xml:space="preserve"> provides the strongest and fastest development in patent services, provides the full range of IP services in Vietnam, Laos, Cambodia, Myanmar. </w:t>
      </w:r>
      <w:proofErr w:type="gramStart"/>
      <w:r w:rsidR="005B01D6" w:rsidRPr="005B01D6">
        <w:rPr>
          <w:rFonts w:ascii="Arial" w:eastAsia="Calibri" w:hAnsi="Arial" w:cs="Times New Roman"/>
          <w:color w:val="1F3864"/>
          <w:sz w:val="20"/>
          <w:szCs w:val="20"/>
        </w:rPr>
        <w:t>and</w:t>
      </w:r>
      <w:proofErr w:type="gramEnd"/>
      <w:r w:rsidR="005B01D6" w:rsidRPr="005B01D6">
        <w:rPr>
          <w:rFonts w:ascii="Arial" w:eastAsia="Calibri" w:hAnsi="Arial" w:cs="Times New Roman"/>
          <w:color w:val="1F3864"/>
          <w:sz w:val="20"/>
          <w:szCs w:val="20"/>
        </w:rPr>
        <w:t xml:space="preserve"> other Asian countries. In 2019, KENFOX entered the list of top 10 patent filing companies before the IP. </w:t>
      </w:r>
      <w:proofErr w:type="spellStart"/>
      <w:r w:rsidR="005B01D6" w:rsidRPr="005B01D6">
        <w:rPr>
          <w:rFonts w:ascii="Arial" w:eastAsia="Calibri" w:hAnsi="Arial" w:cs="Times New Roman"/>
          <w:color w:val="1F3864"/>
          <w:sz w:val="20"/>
          <w:szCs w:val="20"/>
        </w:rPr>
        <w:t>VietNam</w:t>
      </w:r>
      <w:proofErr w:type="spellEnd"/>
      <w:r w:rsidR="005B01D6" w:rsidRPr="005B01D6">
        <w:rPr>
          <w:rFonts w:ascii="Arial" w:eastAsia="Calibri" w:hAnsi="Arial" w:cs="Times New Roman"/>
          <w:color w:val="1F3864"/>
          <w:sz w:val="20"/>
          <w:szCs w:val="20"/>
        </w:rPr>
        <w:t xml:space="preserve"> In 2020 and 2021, KENFOX entered the list of the top 20 patent filing companies in Vietnam. Please contact us if you are interested in IPR protection in the above jurisdictions.</w:t>
      </w:r>
    </w:p>
    <w:p w14:paraId="6BC07D18" w14:textId="77777777" w:rsidR="005B01D6" w:rsidRPr="005B01D6" w:rsidRDefault="005B01D6" w:rsidP="005B01D6">
      <w:pPr>
        <w:spacing w:after="0" w:line="240" w:lineRule="auto"/>
        <w:jc w:val="both"/>
        <w:rPr>
          <w:rFonts w:ascii="Arial" w:eastAsia="Calibri" w:hAnsi="Arial" w:cs="Arial"/>
          <w:sz w:val="20"/>
          <w:szCs w:val="20"/>
        </w:rPr>
      </w:pPr>
    </w:p>
    <w:p w14:paraId="2FCA2F5D" w14:textId="77777777" w:rsidR="003559E9" w:rsidRPr="007B765F" w:rsidRDefault="003559E9" w:rsidP="003559E9">
      <w:pPr>
        <w:spacing w:after="0" w:line="240" w:lineRule="auto"/>
        <w:jc w:val="both"/>
        <w:rPr>
          <w:rFonts w:ascii="Arial" w:hAnsi="Arial" w:cs="Arial"/>
          <w:sz w:val="20"/>
          <w:szCs w:val="20"/>
        </w:rPr>
      </w:pPr>
    </w:p>
    <w:p w14:paraId="0C703989" w14:textId="77777777" w:rsidR="00F61D83" w:rsidRDefault="00F61D83" w:rsidP="00061673">
      <w:pPr>
        <w:spacing w:after="0" w:line="240" w:lineRule="auto"/>
        <w:jc w:val="right"/>
        <w:rPr>
          <w:rFonts w:ascii="Arial" w:hAnsi="Arial" w:cs="Arial"/>
          <w:b/>
          <w:sz w:val="20"/>
          <w:szCs w:val="20"/>
        </w:rPr>
      </w:pPr>
    </w:p>
    <w:p w14:paraId="2929D827" w14:textId="66932F81" w:rsidR="00061673" w:rsidRDefault="00390BF7" w:rsidP="00390BF7">
      <w:pPr>
        <w:spacing w:after="0" w:line="240" w:lineRule="auto"/>
        <w:ind w:right="98"/>
        <w:jc w:val="right"/>
        <w:rPr>
          <w:rFonts w:ascii="Arial" w:hAnsi="Arial" w:cs="Arial"/>
          <w:b/>
          <w:sz w:val="20"/>
          <w:szCs w:val="20"/>
        </w:rPr>
      </w:pPr>
      <w:r>
        <w:rPr>
          <w:rFonts w:ascii="Arial" w:hAnsi="Arial" w:cs="Arial"/>
          <w:b/>
          <w:sz w:val="20"/>
          <w:szCs w:val="20"/>
        </w:rPr>
        <w:t xml:space="preserve">  </w:t>
      </w:r>
      <w:r w:rsidR="00061673">
        <w:rPr>
          <w:rFonts w:ascii="Arial" w:hAnsi="Arial" w:cs="Arial"/>
          <w:b/>
          <w:sz w:val="20"/>
          <w:szCs w:val="20"/>
        </w:rPr>
        <w:t>By Nguyen Vu QUAN</w:t>
      </w:r>
    </w:p>
    <w:p w14:paraId="45560C8F" w14:textId="379265BE" w:rsidR="00061673" w:rsidRDefault="00390BF7" w:rsidP="00390BF7">
      <w:pPr>
        <w:ind w:right="98"/>
        <w:jc w:val="right"/>
        <w:rPr>
          <w:rFonts w:ascii="Arial" w:hAnsi="Arial" w:cs="Arial"/>
          <w:b/>
          <w:sz w:val="20"/>
          <w:szCs w:val="20"/>
        </w:rPr>
      </w:pPr>
      <w:r>
        <w:rPr>
          <w:rFonts w:ascii="Arial" w:hAnsi="Arial" w:cs="Arial"/>
          <w:b/>
          <w:sz w:val="20"/>
          <w:szCs w:val="20"/>
        </w:rPr>
        <w:t xml:space="preserve">  </w:t>
      </w:r>
      <w:r w:rsidR="00061673" w:rsidRPr="00032053">
        <w:rPr>
          <w:rFonts w:ascii="Arial" w:hAnsi="Arial" w:cs="Arial"/>
          <w:b/>
          <w:sz w:val="20"/>
          <w:szCs w:val="20"/>
        </w:rPr>
        <w:t>Partner &amp; IP Attorney</w:t>
      </w:r>
    </w:p>
    <w:p w14:paraId="697E30FA" w14:textId="7CF87B30" w:rsidR="00061673" w:rsidRPr="006813C5" w:rsidRDefault="00BC6C00" w:rsidP="006813C5">
      <w:pPr>
        <w:spacing w:before="100" w:beforeAutospacing="1" w:after="100" w:afterAutospacing="1" w:line="240" w:lineRule="auto"/>
        <w:jc w:val="both"/>
        <w:rPr>
          <w:rFonts w:ascii="Arial" w:eastAsia="Times New Roman" w:hAnsi="Arial" w:cs="Arial"/>
          <w:sz w:val="20"/>
          <w:szCs w:val="20"/>
          <w:lang w:eastAsia="ko-KR"/>
        </w:rPr>
      </w:pPr>
      <w:r>
        <w:rPr>
          <w:noProof/>
          <w:lang w:eastAsia="ko-KR"/>
        </w:rPr>
        <mc:AlternateContent>
          <mc:Choice Requires="wps">
            <w:drawing>
              <wp:anchor distT="0" distB="0" distL="114300" distR="114300" simplePos="0" relativeHeight="251659264" behindDoc="0" locked="0" layoutInCell="1" allowOverlap="1" wp14:anchorId="2D635815" wp14:editId="252588CD">
                <wp:simplePos x="0" y="0"/>
                <wp:positionH relativeFrom="column">
                  <wp:posOffset>4445</wp:posOffset>
                </wp:positionH>
                <wp:positionV relativeFrom="paragraph">
                  <wp:posOffset>164465</wp:posOffset>
                </wp:positionV>
                <wp:extent cx="3352800" cy="123825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23825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w:t>
                            </w:r>
                            <w:proofErr w:type="spellStart"/>
                            <w:r w:rsidRPr="00B31724">
                              <w:rPr>
                                <w:rFonts w:ascii="Arial" w:hAnsi="Arial" w:cs="Arial"/>
                                <w:sz w:val="20"/>
                                <w:szCs w:val="20"/>
                              </w:rPr>
                              <w:t>Thanh</w:t>
                            </w:r>
                            <w:proofErr w:type="spellEnd"/>
                            <w:r w:rsidRPr="00B31724">
                              <w:rPr>
                                <w:rFonts w:ascii="Arial" w:hAnsi="Arial" w:cs="Arial"/>
                                <w:sz w:val="20"/>
                                <w:szCs w:val="20"/>
                              </w:rPr>
                              <w:t xml:space="preserve"> </w:t>
                            </w:r>
                            <w:proofErr w:type="spellStart"/>
                            <w:r w:rsidRPr="00B31724">
                              <w:rPr>
                                <w:rFonts w:ascii="Arial" w:hAnsi="Arial" w:cs="Arial"/>
                                <w:sz w:val="20"/>
                                <w:szCs w:val="20"/>
                              </w:rPr>
                              <w:t>Xuan</w:t>
                            </w:r>
                            <w:proofErr w:type="spellEnd"/>
                            <w:r w:rsidRPr="00B31724">
                              <w:rPr>
                                <w:rFonts w:ascii="Arial" w:hAnsi="Arial" w:cs="Arial"/>
                                <w:sz w:val="20"/>
                                <w:szCs w:val="20"/>
                              </w:rPr>
                              <w:t xml:space="preserve">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4" style="position:absolute;left:0;text-align:left;margin-left:.35pt;margin-top:12.95pt;width:264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" fillcolor="#d8d8d8 [2732]" strokecolor="#ed7d31 [3205]">
                <v:textbo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v:textbox>
              </v:rect>
            </w:pict>
          </mc:Fallback>
        </mc:AlternateContent>
      </w:r>
    </w:p>
    <w:p w14:paraId="0695FAC7" w14:textId="5F53B111" w:rsidR="006813C5" w:rsidRPr="006813C5" w:rsidRDefault="006813C5" w:rsidP="006813C5">
      <w:pPr>
        <w:spacing w:after="200" w:line="276" w:lineRule="auto"/>
        <w:rPr>
          <w:rFonts w:ascii="Arial" w:eastAsia="Malgun Gothic" w:hAnsi="Arial" w:cs="Arial"/>
          <w:sz w:val="20"/>
          <w:szCs w:val="20"/>
          <w:lang w:eastAsia="ko-KR"/>
        </w:rPr>
      </w:pPr>
    </w:p>
    <w:p w14:paraId="0298EAEB" w14:textId="77777777" w:rsidR="00A01102" w:rsidRPr="00D5705E" w:rsidRDefault="00A01102" w:rsidP="006813C5">
      <w:pPr>
        <w:rPr>
          <w:rFonts w:ascii="Arial" w:hAnsi="Arial" w:cs="Arial"/>
          <w:sz w:val="20"/>
          <w:szCs w:val="20"/>
        </w:rPr>
      </w:pPr>
    </w:p>
    <w:sectPr w:rsidR="00A01102" w:rsidRPr="00D5705E" w:rsidSect="005B01D6">
      <w:footerReference w:type="default" r:id="rId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9CD13" w14:textId="77777777" w:rsidR="009044C9" w:rsidRDefault="009044C9" w:rsidP="0084231D">
      <w:pPr>
        <w:spacing w:after="0" w:line="240" w:lineRule="auto"/>
      </w:pPr>
      <w:r>
        <w:separator/>
      </w:r>
    </w:p>
  </w:endnote>
  <w:endnote w:type="continuationSeparator" w:id="0">
    <w:p w14:paraId="6D47E36E" w14:textId="77777777" w:rsidR="009044C9" w:rsidRDefault="009044C9" w:rsidP="0084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Roboto">
    <w:altName w:val="Times New Roman"/>
    <w:charset w:val="00"/>
    <w:family w:val="auto"/>
    <w:pitch w:val="variable"/>
    <w:sig w:usb0="00000001" w:usb1="5000205B" w:usb2="0000002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3EAEB406" w14:textId="2DE18098" w:rsidR="00C62253" w:rsidRPr="00FF7ED4" w:rsidRDefault="009044C9">
            <w:pPr>
              <w:pStyle w:val="Footer"/>
              <w:rPr>
                <w:sz w:val="18"/>
                <w:szCs w:val="18"/>
              </w:rPr>
            </w:pPr>
            <w:hyperlink r:id="rId1" w:history="1">
              <w:r w:rsidR="00C62253" w:rsidRPr="00FF7ED4">
                <w:rPr>
                  <w:rFonts w:ascii="Arial" w:hAnsi="Arial" w:cs="Arial"/>
                  <w:b/>
                  <w:noProof/>
                  <w:color w:val="2F5496" w:themeColor="accent1" w:themeShade="BF"/>
                  <w:sz w:val="18"/>
                  <w:szCs w:val="18"/>
                </w:rPr>
                <w:t>www.kenfoxlaw.com</w:t>
              </w:r>
            </w:hyperlink>
            <w:r w:rsidR="00C62253" w:rsidRPr="00FF7ED4">
              <w:rPr>
                <w:rFonts w:ascii="Arial" w:hAnsi="Arial" w:cs="Arial"/>
                <w:b/>
                <w:noProof/>
                <w:color w:val="2F5496" w:themeColor="accent1" w:themeShade="BF"/>
                <w:sz w:val="18"/>
                <w:szCs w:val="18"/>
              </w:rPr>
              <w:t xml:space="preserve">  </w:t>
            </w:r>
            <w:r w:rsidR="00C62253" w:rsidRPr="00FF7ED4">
              <w:rPr>
                <w:sz w:val="18"/>
                <w:szCs w:val="18"/>
              </w:rPr>
              <w:t xml:space="preserve">                                                                                                                                            </w:t>
            </w:r>
            <w:r w:rsidR="00E4774A">
              <w:rPr>
                <w:sz w:val="18"/>
                <w:szCs w:val="18"/>
              </w:rPr>
              <w:t xml:space="preserve">        </w:t>
            </w:r>
            <w:r w:rsidR="00287D85">
              <w:rPr>
                <w:sz w:val="18"/>
                <w:szCs w:val="18"/>
              </w:rPr>
              <w:t xml:space="preserve">              </w:t>
            </w:r>
            <w:r w:rsidR="00E4774A">
              <w:rPr>
                <w:sz w:val="18"/>
                <w:szCs w:val="18"/>
              </w:rPr>
              <w:t xml:space="preserve">     </w:t>
            </w:r>
            <w:r w:rsidR="00C62253" w:rsidRPr="00FF7ED4">
              <w:rPr>
                <w:rFonts w:ascii="Arial" w:hAnsi="Arial" w:cs="Arial"/>
                <w:b/>
                <w:sz w:val="18"/>
                <w:szCs w:val="18"/>
              </w:rPr>
              <w:t xml:space="preserve">Page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PAGE </w:instrText>
            </w:r>
            <w:r w:rsidR="00C62253" w:rsidRPr="00FF7ED4">
              <w:rPr>
                <w:rFonts w:ascii="Arial" w:hAnsi="Arial" w:cs="Arial"/>
                <w:b/>
                <w:sz w:val="18"/>
                <w:szCs w:val="18"/>
              </w:rPr>
              <w:fldChar w:fldCharType="separate"/>
            </w:r>
            <w:r w:rsidR="00077F84">
              <w:rPr>
                <w:rFonts w:ascii="Arial" w:hAnsi="Arial" w:cs="Arial"/>
                <w:b/>
                <w:noProof/>
                <w:sz w:val="18"/>
                <w:szCs w:val="18"/>
              </w:rPr>
              <w:t>2</w:t>
            </w:r>
            <w:r w:rsidR="00C62253" w:rsidRPr="00FF7ED4">
              <w:rPr>
                <w:rFonts w:ascii="Arial" w:hAnsi="Arial" w:cs="Arial"/>
                <w:b/>
                <w:sz w:val="18"/>
                <w:szCs w:val="18"/>
              </w:rPr>
              <w:fldChar w:fldCharType="end"/>
            </w:r>
            <w:r w:rsidR="00C62253" w:rsidRPr="00FF7ED4">
              <w:rPr>
                <w:rFonts w:ascii="Arial" w:hAnsi="Arial" w:cs="Arial"/>
                <w:b/>
                <w:sz w:val="18"/>
                <w:szCs w:val="18"/>
              </w:rPr>
              <w:t xml:space="preserve"> of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NUMPAGES  </w:instrText>
            </w:r>
            <w:r w:rsidR="00C62253" w:rsidRPr="00FF7ED4">
              <w:rPr>
                <w:rFonts w:ascii="Arial" w:hAnsi="Arial" w:cs="Arial"/>
                <w:b/>
                <w:sz w:val="18"/>
                <w:szCs w:val="18"/>
              </w:rPr>
              <w:fldChar w:fldCharType="separate"/>
            </w:r>
            <w:r w:rsidR="00077F84">
              <w:rPr>
                <w:rFonts w:ascii="Arial" w:hAnsi="Arial" w:cs="Arial"/>
                <w:b/>
                <w:noProof/>
                <w:sz w:val="18"/>
                <w:szCs w:val="18"/>
              </w:rPr>
              <w:t>7</w:t>
            </w:r>
            <w:r w:rsidR="00C62253" w:rsidRPr="00FF7ED4">
              <w:rPr>
                <w:rFonts w:ascii="Arial" w:hAnsi="Arial" w:cs="Arial"/>
                <w:b/>
                <w:sz w:val="18"/>
                <w:szCs w:val="18"/>
              </w:rPr>
              <w:fldChar w:fldCharType="end"/>
            </w:r>
          </w:p>
        </w:sdtContent>
      </w:sdt>
    </w:sdtContent>
  </w:sdt>
  <w:p w14:paraId="7226F245" w14:textId="77777777" w:rsidR="00C62253" w:rsidRDefault="00C62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27928" w14:textId="77777777" w:rsidR="009044C9" w:rsidRDefault="009044C9" w:rsidP="0084231D">
      <w:pPr>
        <w:spacing w:after="0" w:line="240" w:lineRule="auto"/>
      </w:pPr>
      <w:r>
        <w:separator/>
      </w:r>
    </w:p>
  </w:footnote>
  <w:footnote w:type="continuationSeparator" w:id="0">
    <w:p w14:paraId="709C0BC8" w14:textId="77777777" w:rsidR="009044C9" w:rsidRDefault="009044C9" w:rsidP="00842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05F22"/>
    <w:multiLevelType w:val="hybridMultilevel"/>
    <w:tmpl w:val="3398976A"/>
    <w:lvl w:ilvl="0" w:tplc="1200D8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870032"/>
    <w:multiLevelType w:val="hybridMultilevel"/>
    <w:tmpl w:val="40767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5B552A"/>
    <w:multiLevelType w:val="multilevel"/>
    <w:tmpl w:val="E1DC5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DA1B82"/>
    <w:multiLevelType w:val="hybridMultilevel"/>
    <w:tmpl w:val="268C3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B21E77"/>
    <w:multiLevelType w:val="hybridMultilevel"/>
    <w:tmpl w:val="C17C6A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5E02FB"/>
    <w:multiLevelType w:val="multilevel"/>
    <w:tmpl w:val="F09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BD7814"/>
    <w:multiLevelType w:val="hybridMultilevel"/>
    <w:tmpl w:val="D2DE1ED6"/>
    <w:lvl w:ilvl="0" w:tplc="789A35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0601EB"/>
    <w:multiLevelType w:val="multilevel"/>
    <w:tmpl w:val="7A4C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D50BE8"/>
    <w:multiLevelType w:val="multilevel"/>
    <w:tmpl w:val="DA3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231A19"/>
    <w:multiLevelType w:val="hybridMultilevel"/>
    <w:tmpl w:val="D2189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4B785D"/>
    <w:multiLevelType w:val="hybridMultilevel"/>
    <w:tmpl w:val="DA28D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B81482"/>
    <w:multiLevelType w:val="multilevel"/>
    <w:tmpl w:val="C73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C91CCE"/>
    <w:multiLevelType w:val="hybridMultilevel"/>
    <w:tmpl w:val="9258AF80"/>
    <w:lvl w:ilvl="0" w:tplc="7E68C74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D0255D"/>
    <w:multiLevelType w:val="multilevel"/>
    <w:tmpl w:val="32A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395D79"/>
    <w:multiLevelType w:val="multilevel"/>
    <w:tmpl w:val="7526D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B1525C"/>
    <w:multiLevelType w:val="hybridMultilevel"/>
    <w:tmpl w:val="567A0CF4"/>
    <w:lvl w:ilvl="0" w:tplc="87487EA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3D47CE"/>
    <w:multiLevelType w:val="hybridMultilevel"/>
    <w:tmpl w:val="CF965844"/>
    <w:lvl w:ilvl="0" w:tplc="A496B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13"/>
  </w:num>
  <w:num w:numId="5">
    <w:abstractNumId w:val="8"/>
  </w:num>
  <w:num w:numId="6">
    <w:abstractNumId w:val="5"/>
  </w:num>
  <w:num w:numId="7">
    <w:abstractNumId w:val="7"/>
  </w:num>
  <w:num w:numId="8">
    <w:abstractNumId w:val="16"/>
  </w:num>
  <w:num w:numId="9">
    <w:abstractNumId w:val="3"/>
  </w:num>
  <w:num w:numId="10">
    <w:abstractNumId w:val="15"/>
  </w:num>
  <w:num w:numId="11">
    <w:abstractNumId w:val="12"/>
  </w:num>
  <w:num w:numId="12">
    <w:abstractNumId w:val="11"/>
  </w:num>
  <w:num w:numId="13">
    <w:abstractNumId w:val="14"/>
  </w:num>
  <w:num w:numId="14">
    <w:abstractNumId w:val="0"/>
  </w:num>
  <w:num w:numId="15">
    <w:abstractNumId w:val="2"/>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51"/>
    <w:rsid w:val="00015CF3"/>
    <w:rsid w:val="00045593"/>
    <w:rsid w:val="00061673"/>
    <w:rsid w:val="00077F84"/>
    <w:rsid w:val="001A1A18"/>
    <w:rsid w:val="001D7359"/>
    <w:rsid w:val="00247DDD"/>
    <w:rsid w:val="00284BF2"/>
    <w:rsid w:val="00287D85"/>
    <w:rsid w:val="002E1F66"/>
    <w:rsid w:val="00312D71"/>
    <w:rsid w:val="003559E9"/>
    <w:rsid w:val="00370A22"/>
    <w:rsid w:val="00390BF7"/>
    <w:rsid w:val="004523D3"/>
    <w:rsid w:val="00454E68"/>
    <w:rsid w:val="00476083"/>
    <w:rsid w:val="00476868"/>
    <w:rsid w:val="00495506"/>
    <w:rsid w:val="004A6F5C"/>
    <w:rsid w:val="004B370D"/>
    <w:rsid w:val="004D6EB4"/>
    <w:rsid w:val="00525FC4"/>
    <w:rsid w:val="00564F23"/>
    <w:rsid w:val="0059620B"/>
    <w:rsid w:val="005B01D6"/>
    <w:rsid w:val="005B18E6"/>
    <w:rsid w:val="005E4198"/>
    <w:rsid w:val="005E64FF"/>
    <w:rsid w:val="00607831"/>
    <w:rsid w:val="00615BD8"/>
    <w:rsid w:val="0062638A"/>
    <w:rsid w:val="00637D5A"/>
    <w:rsid w:val="00643775"/>
    <w:rsid w:val="00676351"/>
    <w:rsid w:val="006813C5"/>
    <w:rsid w:val="00681DC1"/>
    <w:rsid w:val="006B0418"/>
    <w:rsid w:val="006F7951"/>
    <w:rsid w:val="00715A8B"/>
    <w:rsid w:val="00754A2D"/>
    <w:rsid w:val="007A4046"/>
    <w:rsid w:val="007B6698"/>
    <w:rsid w:val="007E182F"/>
    <w:rsid w:val="0084231D"/>
    <w:rsid w:val="00872274"/>
    <w:rsid w:val="0089209D"/>
    <w:rsid w:val="008950FE"/>
    <w:rsid w:val="008C2C2F"/>
    <w:rsid w:val="008C3F8A"/>
    <w:rsid w:val="009016FE"/>
    <w:rsid w:val="009044C9"/>
    <w:rsid w:val="009455DD"/>
    <w:rsid w:val="0097670A"/>
    <w:rsid w:val="00993A6E"/>
    <w:rsid w:val="009B7423"/>
    <w:rsid w:val="00A01102"/>
    <w:rsid w:val="00A14A38"/>
    <w:rsid w:val="00A37D19"/>
    <w:rsid w:val="00A451ED"/>
    <w:rsid w:val="00A9266D"/>
    <w:rsid w:val="00AC1D69"/>
    <w:rsid w:val="00AE1213"/>
    <w:rsid w:val="00B54069"/>
    <w:rsid w:val="00B94C0F"/>
    <w:rsid w:val="00BB0B04"/>
    <w:rsid w:val="00BC6978"/>
    <w:rsid w:val="00BC6C00"/>
    <w:rsid w:val="00C22B48"/>
    <w:rsid w:val="00C34C8A"/>
    <w:rsid w:val="00C36BC9"/>
    <w:rsid w:val="00C444E7"/>
    <w:rsid w:val="00C621EF"/>
    <w:rsid w:val="00C62253"/>
    <w:rsid w:val="00C9104F"/>
    <w:rsid w:val="00D0094C"/>
    <w:rsid w:val="00D5705E"/>
    <w:rsid w:val="00D63C55"/>
    <w:rsid w:val="00DD53D3"/>
    <w:rsid w:val="00DE1B67"/>
    <w:rsid w:val="00E0389C"/>
    <w:rsid w:val="00E30EB7"/>
    <w:rsid w:val="00E4774A"/>
    <w:rsid w:val="00E61A17"/>
    <w:rsid w:val="00E6401E"/>
    <w:rsid w:val="00E6699F"/>
    <w:rsid w:val="00E82BE0"/>
    <w:rsid w:val="00F0241C"/>
    <w:rsid w:val="00F1775A"/>
    <w:rsid w:val="00F3491E"/>
    <w:rsid w:val="00F60BA6"/>
    <w:rsid w:val="00F61D83"/>
    <w:rsid w:val="00F75A4E"/>
    <w:rsid w:val="00FF7E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character" w:customStyle="1" w:styleId="fontstyle01">
    <w:name w:val="fontstyle01"/>
    <w:basedOn w:val="DefaultParagraphFont"/>
    <w:rsid w:val="003559E9"/>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rsid w:val="005B01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1D6"/>
    <w:rPr>
      <w:rFonts w:ascii="Segoe UI" w:hAnsi="Segoe UI" w:cs="Segoe UI"/>
      <w:sz w:val="18"/>
      <w:szCs w:val="18"/>
    </w:rPr>
  </w:style>
  <w:style w:type="character" w:styleId="Strong">
    <w:name w:val="Strong"/>
    <w:basedOn w:val="DefaultParagraphFont"/>
    <w:uiPriority w:val="22"/>
    <w:qFormat/>
    <w:rsid w:val="005B01D6"/>
    <w:rPr>
      <w:b/>
      <w:bCs/>
    </w:rPr>
  </w:style>
  <w:style w:type="character" w:styleId="CommentReference">
    <w:name w:val="annotation reference"/>
    <w:basedOn w:val="DefaultParagraphFont"/>
    <w:uiPriority w:val="99"/>
    <w:semiHidden/>
    <w:unhideWhenUsed/>
    <w:rsid w:val="005B01D6"/>
    <w:rPr>
      <w:sz w:val="16"/>
      <w:szCs w:val="16"/>
    </w:rPr>
  </w:style>
  <w:style w:type="paragraph" w:styleId="CommentText">
    <w:name w:val="annotation text"/>
    <w:basedOn w:val="Normal"/>
    <w:link w:val="CommentTextChar"/>
    <w:uiPriority w:val="99"/>
    <w:semiHidden/>
    <w:unhideWhenUsed/>
    <w:rsid w:val="005B01D6"/>
    <w:pPr>
      <w:spacing w:line="240" w:lineRule="auto"/>
    </w:pPr>
    <w:rPr>
      <w:sz w:val="20"/>
      <w:szCs w:val="20"/>
    </w:rPr>
  </w:style>
  <w:style w:type="character" w:customStyle="1" w:styleId="CommentTextChar">
    <w:name w:val="Comment Text Char"/>
    <w:basedOn w:val="DefaultParagraphFont"/>
    <w:link w:val="CommentText"/>
    <w:uiPriority w:val="99"/>
    <w:semiHidden/>
    <w:rsid w:val="005B01D6"/>
    <w:rPr>
      <w:sz w:val="20"/>
      <w:szCs w:val="20"/>
    </w:rPr>
  </w:style>
  <w:style w:type="paragraph" w:styleId="CommentSubject">
    <w:name w:val="annotation subject"/>
    <w:basedOn w:val="CommentText"/>
    <w:next w:val="CommentText"/>
    <w:link w:val="CommentSubjectChar"/>
    <w:uiPriority w:val="99"/>
    <w:semiHidden/>
    <w:unhideWhenUsed/>
    <w:rsid w:val="005B01D6"/>
    <w:rPr>
      <w:b/>
      <w:bCs/>
    </w:rPr>
  </w:style>
  <w:style w:type="character" w:customStyle="1" w:styleId="CommentSubjectChar">
    <w:name w:val="Comment Subject Char"/>
    <w:basedOn w:val="CommentTextChar"/>
    <w:link w:val="CommentSubject"/>
    <w:uiPriority w:val="99"/>
    <w:semiHidden/>
    <w:rsid w:val="005B01D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character" w:customStyle="1" w:styleId="fontstyle01">
    <w:name w:val="fontstyle01"/>
    <w:basedOn w:val="DefaultParagraphFont"/>
    <w:rsid w:val="003559E9"/>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rsid w:val="005B01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1D6"/>
    <w:rPr>
      <w:rFonts w:ascii="Segoe UI" w:hAnsi="Segoe UI" w:cs="Segoe UI"/>
      <w:sz w:val="18"/>
      <w:szCs w:val="18"/>
    </w:rPr>
  </w:style>
  <w:style w:type="character" w:styleId="Strong">
    <w:name w:val="Strong"/>
    <w:basedOn w:val="DefaultParagraphFont"/>
    <w:uiPriority w:val="22"/>
    <w:qFormat/>
    <w:rsid w:val="005B01D6"/>
    <w:rPr>
      <w:b/>
      <w:bCs/>
    </w:rPr>
  </w:style>
  <w:style w:type="character" w:styleId="CommentReference">
    <w:name w:val="annotation reference"/>
    <w:basedOn w:val="DefaultParagraphFont"/>
    <w:uiPriority w:val="99"/>
    <w:semiHidden/>
    <w:unhideWhenUsed/>
    <w:rsid w:val="005B01D6"/>
    <w:rPr>
      <w:sz w:val="16"/>
      <w:szCs w:val="16"/>
    </w:rPr>
  </w:style>
  <w:style w:type="paragraph" w:styleId="CommentText">
    <w:name w:val="annotation text"/>
    <w:basedOn w:val="Normal"/>
    <w:link w:val="CommentTextChar"/>
    <w:uiPriority w:val="99"/>
    <w:semiHidden/>
    <w:unhideWhenUsed/>
    <w:rsid w:val="005B01D6"/>
    <w:pPr>
      <w:spacing w:line="240" w:lineRule="auto"/>
    </w:pPr>
    <w:rPr>
      <w:sz w:val="20"/>
      <w:szCs w:val="20"/>
    </w:rPr>
  </w:style>
  <w:style w:type="character" w:customStyle="1" w:styleId="CommentTextChar">
    <w:name w:val="Comment Text Char"/>
    <w:basedOn w:val="DefaultParagraphFont"/>
    <w:link w:val="CommentText"/>
    <w:uiPriority w:val="99"/>
    <w:semiHidden/>
    <w:rsid w:val="005B01D6"/>
    <w:rPr>
      <w:sz w:val="20"/>
      <w:szCs w:val="20"/>
    </w:rPr>
  </w:style>
  <w:style w:type="paragraph" w:styleId="CommentSubject">
    <w:name w:val="annotation subject"/>
    <w:basedOn w:val="CommentText"/>
    <w:next w:val="CommentText"/>
    <w:link w:val="CommentSubjectChar"/>
    <w:uiPriority w:val="99"/>
    <w:semiHidden/>
    <w:unhideWhenUsed/>
    <w:rsid w:val="005B01D6"/>
    <w:rPr>
      <w:b/>
      <w:bCs/>
    </w:rPr>
  </w:style>
  <w:style w:type="character" w:customStyle="1" w:styleId="CommentSubjectChar">
    <w:name w:val="Comment Subject Char"/>
    <w:basedOn w:val="CommentTextChar"/>
    <w:link w:val="CommentSubject"/>
    <w:uiPriority w:val="99"/>
    <w:semiHidden/>
    <w:rsid w:val="005B01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7</Pages>
  <Words>4232</Words>
  <Characters>24127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Nguyen Vu</dc:creator>
  <cp:lastModifiedBy>Author</cp:lastModifiedBy>
  <cp:revision>45</cp:revision>
  <cp:lastPrinted>2022-07-04T10:03:00Z</cp:lastPrinted>
  <dcterms:created xsi:type="dcterms:W3CDTF">2022-05-10T10:16:00Z</dcterms:created>
  <dcterms:modified xsi:type="dcterms:W3CDTF">2022-07-04T10:03:00Z</dcterms:modified>
</cp:coreProperties>
</file>