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C58F14" w14:textId="77777777" w:rsidR="00CC45A7" w:rsidRDefault="00CC45A7" w:rsidP="00CC45A7">
      <w:pPr>
        <w:spacing w:before="100" w:beforeAutospacing="1" w:after="100" w:afterAutospacing="1" w:line="240" w:lineRule="auto"/>
        <w:outlineLvl w:val="0"/>
        <w:rPr>
          <w:rFonts w:ascii="Arial" w:eastAsia="Times New Roman" w:hAnsi="Arial" w:cs="Arial"/>
          <w:b/>
          <w:bCs/>
          <w:color w:val="C00000"/>
          <w:kern w:val="36"/>
          <w:sz w:val="24"/>
          <w:szCs w:val="24"/>
        </w:rPr>
      </w:pPr>
      <w:r>
        <w:rPr>
          <w:noProof/>
        </w:rPr>
        <mc:AlternateContent>
          <mc:Choice Requires="wps">
            <w:drawing>
              <wp:anchor distT="0" distB="0" distL="114300" distR="114300" simplePos="0" relativeHeight="251651072" behindDoc="0" locked="0" layoutInCell="1" allowOverlap="1" wp14:anchorId="70BB9995" wp14:editId="21DEF826">
                <wp:simplePos x="0" y="0"/>
                <wp:positionH relativeFrom="column">
                  <wp:posOffset>6372225</wp:posOffset>
                </wp:positionH>
                <wp:positionV relativeFrom="paragraph">
                  <wp:posOffset>-590550</wp:posOffset>
                </wp:positionV>
                <wp:extent cx="347980" cy="14291310"/>
                <wp:effectExtent l="0" t="0" r="0" b="0"/>
                <wp:wrapNone/>
                <wp:docPr id="54" name="Rectangle 2">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7980" cy="14291310"/>
                        </a:xfrm>
                        <a:prstGeom prst="rect">
                          <a:avLst/>
                        </a:prstGeom>
                        <a:solidFill>
                          <a:srgbClr val="00B39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0FE05B" w14:textId="4C4926C3" w:rsidR="00CC45A7" w:rsidRPr="00F2637F" w:rsidRDefault="007C3C77" w:rsidP="00CC45A7">
                            <w:pPr>
                              <w:spacing w:after="0" w:line="240" w:lineRule="auto"/>
                              <w:rPr>
                                <w:rFonts w:ascii="Arial" w:hAnsi="Arial" w:cs="Arial"/>
                                <w:b/>
                                <w:color w:val="FFFFFF" w:themeColor="background1"/>
                                <w:sz w:val="20"/>
                                <w:szCs w:val="20"/>
                              </w:rPr>
                            </w:pPr>
                            <w:r>
                              <w:rPr>
                                <w:rFonts w:ascii="Arial" w:hAnsi="Arial" w:cs="Arial"/>
                                <w:b/>
                                <w:color w:val="FFFFFF" w:themeColor="background1"/>
                                <w:sz w:val="24"/>
                                <w:szCs w:val="24"/>
                              </w:rPr>
                              <w:t xml:space="preserve"> </w:t>
                            </w:r>
                            <w:r w:rsidRPr="007C3C77">
                              <w:rPr>
                                <w:rFonts w:ascii="Arial" w:hAnsi="Arial" w:cs="Arial"/>
                                <w:b/>
                                <w:color w:val="FFFFFF" w:themeColor="background1"/>
                                <w:sz w:val="24"/>
                                <w:szCs w:val="24"/>
                              </w:rPr>
                              <w:t>Third party observations and oppositions in Vietnam</w:t>
                            </w:r>
                          </w:p>
                        </w:txbxContent>
                      </wps:txbx>
                      <wps:bodyPr vert="vert" lIns="50800" tIns="50800" rIns="50800" bIns="50800" anchor="ctr">
                        <a:noAutofit/>
                      </wps:bodyPr>
                    </wps:wsp>
                  </a:graphicData>
                </a:graphic>
                <wp14:sizeRelH relativeFrom="margin">
                  <wp14:pctWidth>0</wp14:pctWidth>
                </wp14:sizeRelH>
                <wp14:sizeRelV relativeFrom="page">
                  <wp14:pctHeight>0</wp14:pctHeight>
                </wp14:sizeRelV>
              </wp:anchor>
            </w:drawing>
          </mc:Choice>
          <mc:Fallback>
            <w:pict>
              <v:rect w14:anchorId="70BB9995" id="Rectangle 2" o:spid="_x0000_s1026" style="position:absolute;margin-left:501.75pt;margin-top:-46.5pt;width:27.4pt;height:1125.3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" fillcolor="#00b39c" stroked="f">
                <v:path arrowok="t"/>
                <v:textbox style="layout-flow:vertical" inset="4pt,4pt,4pt,4pt">
                  <w:txbxContent>
                    <w:p w14:paraId="440FE05B" w14:textId="4C4926C3" w:rsidR="00CC45A7" w:rsidRPr="00F2637F" w:rsidRDefault="007C3C77" w:rsidP="00CC45A7">
                      <w:pPr>
                        <w:spacing w:after="0" w:line="240" w:lineRule="auto"/>
                        <w:rPr>
                          <w:rFonts w:ascii="Arial" w:hAnsi="Arial" w:cs="Arial"/>
                          <w:b/>
                          <w:color w:val="FFFFFF" w:themeColor="background1"/>
                          <w:sz w:val="20"/>
                          <w:szCs w:val="20"/>
                        </w:rPr>
                      </w:pPr>
                      <w:r>
                        <w:rPr>
                          <w:rFonts w:ascii="Arial" w:hAnsi="Arial" w:cs="Arial"/>
                          <w:b/>
                          <w:color w:val="FFFFFF" w:themeColor="background1"/>
                          <w:sz w:val="24"/>
                          <w:szCs w:val="24"/>
                        </w:rPr>
                        <w:t xml:space="preserve"> </w:t>
                      </w:r>
                      <w:r w:rsidRPr="007C3C77">
                        <w:rPr>
                          <w:rFonts w:ascii="Arial" w:hAnsi="Arial" w:cs="Arial"/>
                          <w:b/>
                          <w:color w:val="FFFFFF" w:themeColor="background1"/>
                          <w:sz w:val="24"/>
                          <w:szCs w:val="24"/>
                        </w:rPr>
                        <w:t>Third party observations and oppositions in Vietnam</w:t>
                      </w:r>
                    </w:p>
                  </w:txbxContent>
                </v:textbox>
              </v:rect>
            </w:pict>
          </mc:Fallback>
        </mc:AlternateContent>
      </w:r>
      <w:r>
        <w:rPr>
          <w:noProof/>
        </w:rPr>
        <mc:AlternateContent>
          <mc:Choice Requires="wps">
            <w:drawing>
              <wp:anchor distT="0" distB="0" distL="114300" distR="114300" simplePos="0" relativeHeight="251650048" behindDoc="0" locked="0" layoutInCell="1" allowOverlap="1" wp14:anchorId="608D2947" wp14:editId="227578BD">
                <wp:simplePos x="0" y="0"/>
                <wp:positionH relativeFrom="column">
                  <wp:posOffset>-371475</wp:posOffset>
                </wp:positionH>
                <wp:positionV relativeFrom="paragraph">
                  <wp:posOffset>-466725</wp:posOffset>
                </wp:positionV>
                <wp:extent cx="3863340" cy="266700"/>
                <wp:effectExtent l="0" t="0" r="22860" b="19050"/>
                <wp:wrapNone/>
                <wp:docPr id="5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3340" cy="266700"/>
                        </a:xfrm>
                        <a:prstGeom prst="rect">
                          <a:avLst/>
                        </a:prstGeom>
                        <a:solidFill>
                          <a:srgbClr val="F56C2E"/>
                        </a:solidFill>
                        <a:ln w="25400">
                          <a:solidFill>
                            <a:srgbClr val="F56C2E"/>
                          </a:solidFill>
                          <a:miter lim="800000"/>
                          <a:headEnd/>
                          <a:tailEnd/>
                        </a:ln>
                      </wps:spPr>
                      <wps:txbx>
                        <w:txbxContent>
                          <w:p w14:paraId="301EC958" w14:textId="6562A1B4" w:rsidR="00CC45A7" w:rsidRPr="00CC45A7" w:rsidRDefault="007C3C77" w:rsidP="00CC45A7">
                            <w:pPr>
                              <w:ind w:left="-142" w:firstLine="142"/>
                              <w:jc w:val="center"/>
                              <w:rPr>
                                <w:rFonts w:ascii="Arial" w:hAnsi="Arial" w:cs="Arial"/>
                                <w:b/>
                                <w:color w:val="FFFFFF" w:themeColor="background1"/>
                                <w:sz w:val="21"/>
                                <w:szCs w:val="21"/>
                              </w:rPr>
                            </w:pPr>
                            <w:r w:rsidRPr="007C3C77">
                              <w:rPr>
                                <w:rFonts w:ascii="Arial" w:eastAsia="Times New Roman" w:hAnsi="Arial" w:cs="Arial"/>
                                <w:b/>
                                <w:bCs/>
                                <w:color w:val="FFFFFF" w:themeColor="background1"/>
                                <w:kern w:val="36"/>
                                <w:sz w:val="21"/>
                                <w:szCs w:val="21"/>
                              </w:rPr>
                              <w:t>Third party observations and oppositions in Vietnam</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08D2947" id="Rectangle 14" o:spid="_x0000_s1027" style="position:absolute;margin-left:-29.25pt;margin-top:-36.75pt;width:304.2pt;height:2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" fillcolor="#f56c2e" strokecolor="#f56c2e" strokeweight="2pt">
                <v:textbox>
                  <w:txbxContent>
                    <w:p w14:paraId="301EC958" w14:textId="6562A1B4" w:rsidR="00CC45A7" w:rsidRPr="00CC45A7" w:rsidRDefault="007C3C77" w:rsidP="00CC45A7">
                      <w:pPr>
                        <w:ind w:left="-142" w:firstLine="142"/>
                        <w:jc w:val="center"/>
                        <w:rPr>
                          <w:rFonts w:ascii="Arial" w:hAnsi="Arial" w:cs="Arial"/>
                          <w:b/>
                          <w:color w:val="FFFFFF" w:themeColor="background1"/>
                          <w:sz w:val="21"/>
                          <w:szCs w:val="21"/>
                        </w:rPr>
                      </w:pPr>
                      <w:r w:rsidRPr="007C3C77">
                        <w:rPr>
                          <w:rFonts w:ascii="Arial" w:eastAsia="Times New Roman" w:hAnsi="Arial" w:cs="Arial"/>
                          <w:b/>
                          <w:bCs/>
                          <w:color w:val="FFFFFF" w:themeColor="background1"/>
                          <w:kern w:val="36"/>
                          <w:sz w:val="21"/>
                          <w:szCs w:val="21"/>
                        </w:rPr>
                        <w:t>Third party observations and oppositions in Vietnam</w:t>
                      </w:r>
                    </w:p>
                  </w:txbxContent>
                </v:textbox>
              </v:rect>
            </w:pict>
          </mc:Fallback>
        </mc:AlternateContent>
      </w:r>
    </w:p>
    <w:p w14:paraId="15AC119B" w14:textId="77777777" w:rsidR="007C3C77" w:rsidRPr="00FE64D3" w:rsidRDefault="007C3C77" w:rsidP="007C3C77">
      <w:pPr>
        <w:spacing w:after="0" w:line="240" w:lineRule="auto"/>
        <w:jc w:val="center"/>
        <w:rPr>
          <w:rFonts w:ascii="Arial" w:eastAsia="Times New Roman" w:hAnsi="Arial" w:cs="Arial"/>
          <w:b/>
          <w:bCs/>
          <w:color w:val="C00000"/>
          <w:sz w:val="24"/>
          <w:szCs w:val="24"/>
        </w:rPr>
      </w:pPr>
      <w:r w:rsidRPr="00FE64D3">
        <w:rPr>
          <w:rFonts w:ascii="Arial" w:eastAsia="Times New Roman" w:hAnsi="Arial" w:cs="Arial"/>
          <w:b/>
          <w:bCs/>
          <w:color w:val="C00000"/>
          <w:sz w:val="24"/>
          <w:szCs w:val="24"/>
        </w:rPr>
        <w:t xml:space="preserve">Should </w:t>
      </w:r>
      <w:r>
        <w:rPr>
          <w:rFonts w:ascii="Arial" w:eastAsia="Times New Roman" w:hAnsi="Arial" w:cs="Arial"/>
          <w:b/>
          <w:bCs/>
          <w:color w:val="C00000"/>
          <w:sz w:val="24"/>
          <w:szCs w:val="24"/>
        </w:rPr>
        <w:t>I</w:t>
      </w:r>
      <w:r w:rsidRPr="00FE64D3">
        <w:rPr>
          <w:rFonts w:ascii="Arial" w:eastAsia="Times New Roman" w:hAnsi="Arial" w:cs="Arial"/>
          <w:b/>
          <w:bCs/>
          <w:color w:val="C00000"/>
          <w:sz w:val="24"/>
          <w:szCs w:val="24"/>
        </w:rPr>
        <w:t xml:space="preserve"> file an observation or opposition in industrial property procedures under Vietnam’s IP Law 2022?</w:t>
      </w:r>
    </w:p>
    <w:p w14:paraId="052C2534" w14:textId="77777777" w:rsidR="007C3C77" w:rsidRDefault="007C3C77" w:rsidP="007C3C77">
      <w:pPr>
        <w:spacing w:after="0" w:line="240" w:lineRule="auto"/>
        <w:jc w:val="both"/>
        <w:rPr>
          <w:rFonts w:ascii="Arial" w:eastAsia="Times New Roman" w:hAnsi="Arial" w:cs="Arial"/>
          <w:b/>
          <w:bCs/>
          <w:color w:val="003333"/>
          <w:sz w:val="20"/>
          <w:szCs w:val="20"/>
        </w:rPr>
      </w:pPr>
    </w:p>
    <w:p w14:paraId="099BF0B8" w14:textId="77777777" w:rsidR="007C3C77" w:rsidRDefault="007C3C77" w:rsidP="007C3C77">
      <w:pPr>
        <w:spacing w:after="0" w:line="240" w:lineRule="auto"/>
        <w:jc w:val="both"/>
        <w:rPr>
          <w:rFonts w:ascii="Arial" w:hAnsi="Arial" w:cs="Arial"/>
          <w:sz w:val="20"/>
          <w:szCs w:val="20"/>
        </w:rPr>
      </w:pPr>
      <w:r w:rsidRPr="00507971">
        <w:rPr>
          <w:rFonts w:ascii="Arial" w:hAnsi="Arial" w:cs="Arial"/>
          <w:sz w:val="20"/>
          <w:szCs w:val="20"/>
        </w:rPr>
        <w:t xml:space="preserve">If you believe that a trademark application in Vietnam is likely to conflict with or adversely affect your prior rights, or that it does not meet the criteria for protection, you may submit your opinions on the grant of an exclusive right to such a trademark application </w:t>
      </w:r>
      <w:r>
        <w:rPr>
          <w:rFonts w:ascii="Arial" w:hAnsi="Arial" w:cs="Arial"/>
          <w:sz w:val="20"/>
          <w:szCs w:val="20"/>
        </w:rPr>
        <w:t xml:space="preserve">to </w:t>
      </w:r>
      <w:r w:rsidRPr="00661AE7">
        <w:rPr>
          <w:rFonts w:ascii="Arial" w:hAnsi="Arial" w:cs="Arial"/>
          <w:sz w:val="20"/>
          <w:szCs w:val="20"/>
        </w:rPr>
        <w:t>the Intellectual Property Office of Vietnam</w:t>
      </w:r>
      <w:r>
        <w:rPr>
          <w:rFonts w:ascii="Arial" w:hAnsi="Arial" w:cs="Arial"/>
          <w:sz w:val="20"/>
          <w:szCs w:val="20"/>
        </w:rPr>
        <w:t xml:space="preserve"> (</w:t>
      </w:r>
      <w:r w:rsidRPr="005A657C">
        <w:rPr>
          <w:rFonts w:ascii="Arial" w:hAnsi="Arial" w:cs="Arial"/>
          <w:b/>
          <w:bCs/>
          <w:sz w:val="20"/>
          <w:szCs w:val="20"/>
        </w:rPr>
        <w:t>IP VIETNAM</w:t>
      </w:r>
      <w:r>
        <w:rPr>
          <w:rFonts w:ascii="Arial" w:hAnsi="Arial" w:cs="Arial"/>
          <w:sz w:val="20"/>
          <w:szCs w:val="20"/>
        </w:rPr>
        <w:t xml:space="preserve">) </w:t>
      </w:r>
      <w:r w:rsidRPr="00507971">
        <w:rPr>
          <w:rFonts w:ascii="Arial" w:hAnsi="Arial" w:cs="Arial"/>
          <w:sz w:val="20"/>
          <w:szCs w:val="20"/>
        </w:rPr>
        <w:t xml:space="preserve">after it has been published in the industrial property gazette of Vietnam. </w:t>
      </w:r>
      <w:r w:rsidRPr="00FE64D3">
        <w:rPr>
          <w:rFonts w:ascii="Arial" w:hAnsi="Arial" w:cs="Arial"/>
          <w:sz w:val="20"/>
          <w:szCs w:val="20"/>
        </w:rPr>
        <w:t>The Vietnam IP Law 2022 gives third parties two options for voicing their opinions on pending trademark applications in Vietnam:</w:t>
      </w:r>
      <w:r w:rsidRPr="00507971">
        <w:rPr>
          <w:rFonts w:ascii="Arial" w:hAnsi="Arial" w:cs="Arial"/>
          <w:sz w:val="20"/>
          <w:szCs w:val="20"/>
        </w:rPr>
        <w:t xml:space="preserve"> </w:t>
      </w:r>
      <w:r w:rsidRPr="00B90AFC">
        <w:rPr>
          <w:rFonts w:ascii="Arial" w:hAnsi="Arial" w:cs="Arial"/>
          <w:b/>
          <w:bCs/>
          <w:color w:val="222222"/>
          <w:sz w:val="20"/>
          <w:szCs w:val="20"/>
        </w:rPr>
        <w:t>(i)</w:t>
      </w:r>
      <w:r w:rsidRPr="00B86B20">
        <w:rPr>
          <w:rFonts w:ascii="Arial" w:hAnsi="Arial" w:cs="Arial"/>
          <w:color w:val="222222"/>
          <w:sz w:val="20"/>
          <w:szCs w:val="20"/>
        </w:rPr>
        <w:t xml:space="preserve"> third party observation and/or </w:t>
      </w:r>
      <w:r w:rsidRPr="00B90AFC">
        <w:rPr>
          <w:rFonts w:ascii="Arial" w:hAnsi="Arial" w:cs="Arial"/>
          <w:b/>
          <w:bCs/>
          <w:color w:val="222222"/>
          <w:sz w:val="20"/>
          <w:szCs w:val="20"/>
        </w:rPr>
        <w:t>(ii)</w:t>
      </w:r>
      <w:r w:rsidRPr="00B86B20">
        <w:rPr>
          <w:rFonts w:ascii="Arial" w:hAnsi="Arial" w:cs="Arial"/>
          <w:color w:val="222222"/>
          <w:sz w:val="20"/>
          <w:szCs w:val="20"/>
        </w:rPr>
        <w:t xml:space="preserve"> opposition.</w:t>
      </w:r>
    </w:p>
    <w:p w14:paraId="3E6E787E" w14:textId="77777777" w:rsidR="007C3C77" w:rsidRDefault="007C3C77" w:rsidP="007C3C77">
      <w:pPr>
        <w:spacing w:after="0" w:line="240" w:lineRule="auto"/>
        <w:jc w:val="both"/>
        <w:rPr>
          <w:rFonts w:ascii="Arial" w:hAnsi="Arial" w:cs="Arial"/>
          <w:sz w:val="20"/>
          <w:szCs w:val="20"/>
        </w:rPr>
      </w:pPr>
    </w:p>
    <w:p w14:paraId="2F1155B6" w14:textId="77777777" w:rsidR="007C3C77" w:rsidRPr="00B90AFC" w:rsidRDefault="007C3C77" w:rsidP="007C3C77">
      <w:pPr>
        <w:spacing w:after="0" w:line="240" w:lineRule="auto"/>
        <w:jc w:val="both"/>
        <w:rPr>
          <w:rFonts w:ascii="Arial" w:hAnsi="Arial" w:cs="Arial"/>
          <w:b/>
          <w:bCs/>
          <w:color w:val="222222"/>
          <w:sz w:val="20"/>
          <w:szCs w:val="20"/>
        </w:rPr>
      </w:pPr>
      <w:r>
        <w:rPr>
          <w:rFonts w:ascii="Arial" w:hAnsi="Arial" w:cs="Arial"/>
          <w:b/>
          <w:bCs/>
          <w:color w:val="222222"/>
          <w:sz w:val="20"/>
          <w:szCs w:val="20"/>
        </w:rPr>
        <w:t xml:space="preserve">1. </w:t>
      </w:r>
      <w:r w:rsidRPr="00B90AFC">
        <w:rPr>
          <w:rFonts w:ascii="Arial" w:hAnsi="Arial" w:cs="Arial"/>
          <w:b/>
          <w:bCs/>
          <w:color w:val="222222"/>
          <w:sz w:val="20"/>
          <w:szCs w:val="20"/>
        </w:rPr>
        <w:t xml:space="preserve">What </w:t>
      </w:r>
      <w:r>
        <w:rPr>
          <w:rFonts w:ascii="Arial" w:hAnsi="Arial" w:cs="Arial"/>
          <w:b/>
          <w:bCs/>
          <w:color w:val="222222"/>
          <w:sz w:val="20"/>
          <w:szCs w:val="20"/>
        </w:rPr>
        <w:t>are</w:t>
      </w:r>
      <w:r w:rsidRPr="00B90AFC">
        <w:rPr>
          <w:rFonts w:ascii="Arial" w:hAnsi="Arial" w:cs="Arial"/>
          <w:b/>
          <w:bCs/>
          <w:color w:val="222222"/>
          <w:sz w:val="20"/>
          <w:szCs w:val="20"/>
        </w:rPr>
        <w:t xml:space="preserve"> a trademark opposition </w:t>
      </w:r>
      <w:r>
        <w:rPr>
          <w:rFonts w:ascii="Arial" w:hAnsi="Arial" w:cs="Arial"/>
          <w:b/>
          <w:bCs/>
          <w:color w:val="222222"/>
          <w:sz w:val="20"/>
          <w:szCs w:val="20"/>
        </w:rPr>
        <w:t xml:space="preserve">and an </w:t>
      </w:r>
      <w:r w:rsidRPr="00B90AFC">
        <w:rPr>
          <w:rFonts w:ascii="Arial" w:hAnsi="Arial" w:cs="Arial"/>
          <w:b/>
          <w:bCs/>
          <w:color w:val="222222"/>
          <w:sz w:val="20"/>
          <w:szCs w:val="20"/>
        </w:rPr>
        <w:t>observation?</w:t>
      </w:r>
    </w:p>
    <w:p w14:paraId="4711FC16" w14:textId="77777777" w:rsidR="007C3C77" w:rsidRPr="00B86B20" w:rsidRDefault="007C3C77" w:rsidP="007C3C77">
      <w:pPr>
        <w:spacing w:after="0" w:line="240" w:lineRule="auto"/>
        <w:jc w:val="both"/>
        <w:textAlignment w:val="baseline"/>
        <w:rPr>
          <w:rFonts w:ascii="Arial" w:hAnsi="Arial" w:cs="Arial"/>
          <w:sz w:val="20"/>
          <w:szCs w:val="20"/>
        </w:rPr>
      </w:pPr>
    </w:p>
    <w:p w14:paraId="1800B116" w14:textId="77777777" w:rsidR="007C3C77" w:rsidRDefault="007C3C77" w:rsidP="007C3C77">
      <w:pPr>
        <w:pStyle w:val="ListParagraph"/>
        <w:numPr>
          <w:ilvl w:val="0"/>
          <w:numId w:val="7"/>
        </w:numPr>
        <w:spacing w:after="0" w:line="240" w:lineRule="auto"/>
        <w:ind w:left="317" w:hanging="283"/>
        <w:contextualSpacing w:val="0"/>
        <w:jc w:val="both"/>
        <w:textAlignment w:val="baseline"/>
        <w:rPr>
          <w:rFonts w:ascii="Arial" w:hAnsi="Arial" w:cs="Arial"/>
          <w:sz w:val="20"/>
          <w:szCs w:val="20"/>
        </w:rPr>
      </w:pPr>
      <w:r w:rsidRPr="00B86B20">
        <w:rPr>
          <w:rFonts w:ascii="Arial" w:hAnsi="Arial" w:cs="Arial"/>
          <w:b/>
          <w:bCs/>
          <w:sz w:val="20"/>
          <w:szCs w:val="20"/>
        </w:rPr>
        <w:t>Opposition</w:t>
      </w:r>
      <w:r w:rsidRPr="00B86B20">
        <w:rPr>
          <w:rFonts w:ascii="Arial" w:hAnsi="Arial" w:cs="Arial"/>
          <w:sz w:val="20"/>
          <w:szCs w:val="20"/>
        </w:rPr>
        <w:t xml:space="preserve"> is an administrative procedure that allows a third party to challenge the validity of an industrial property registration application and then request the competent agency to refuse the grant of a protection title, provided that the opponent provides the legal grounds to prove his case. </w:t>
      </w:r>
    </w:p>
    <w:p w14:paraId="6D964B57" w14:textId="77777777" w:rsidR="007C3C77" w:rsidRPr="00B86B20" w:rsidRDefault="007C3C77" w:rsidP="007C3C77">
      <w:pPr>
        <w:pStyle w:val="ListParagraph"/>
        <w:spacing w:after="0" w:line="240" w:lineRule="auto"/>
        <w:ind w:left="317"/>
        <w:contextualSpacing w:val="0"/>
        <w:jc w:val="both"/>
        <w:textAlignment w:val="baseline"/>
        <w:rPr>
          <w:rFonts w:ascii="Arial" w:hAnsi="Arial" w:cs="Arial"/>
          <w:sz w:val="20"/>
          <w:szCs w:val="20"/>
        </w:rPr>
      </w:pPr>
    </w:p>
    <w:p w14:paraId="39D54B35" w14:textId="77777777" w:rsidR="007C3C77" w:rsidRPr="00B86B20" w:rsidRDefault="007C3C77" w:rsidP="007C3C77">
      <w:pPr>
        <w:pStyle w:val="ListParagraph"/>
        <w:numPr>
          <w:ilvl w:val="0"/>
          <w:numId w:val="7"/>
        </w:numPr>
        <w:spacing w:after="0" w:line="240" w:lineRule="auto"/>
        <w:ind w:left="360"/>
        <w:contextualSpacing w:val="0"/>
        <w:jc w:val="both"/>
        <w:textAlignment w:val="baseline"/>
        <w:rPr>
          <w:rFonts w:ascii="Arial" w:hAnsi="Arial" w:cs="Arial"/>
          <w:sz w:val="20"/>
          <w:szCs w:val="20"/>
        </w:rPr>
      </w:pPr>
      <w:r w:rsidRPr="00B86B20">
        <w:rPr>
          <w:rFonts w:ascii="Arial" w:hAnsi="Arial" w:cs="Arial"/>
          <w:b/>
          <w:bCs/>
          <w:sz w:val="20"/>
          <w:szCs w:val="20"/>
        </w:rPr>
        <w:t>Third party observation</w:t>
      </w:r>
      <w:r w:rsidRPr="00B86B20">
        <w:rPr>
          <w:rFonts w:ascii="Arial" w:hAnsi="Arial" w:cs="Arial"/>
          <w:sz w:val="20"/>
          <w:szCs w:val="20"/>
        </w:rPr>
        <w:t xml:space="preserve"> is a procedure that allows the public to provide their opinion on industrial property registration applications, from which the examining agency makes decisions on applications under examination. Third-party’s observation often serve as a reference source for examiners during the application examination process. </w:t>
      </w:r>
    </w:p>
    <w:p w14:paraId="46B2FACF" w14:textId="77777777" w:rsidR="007C3C77" w:rsidRPr="00B86B20" w:rsidRDefault="007C3C77" w:rsidP="007C3C77">
      <w:pPr>
        <w:spacing w:after="0" w:line="240" w:lineRule="auto"/>
        <w:jc w:val="both"/>
        <w:textAlignment w:val="baseline"/>
        <w:rPr>
          <w:rFonts w:ascii="Arial" w:hAnsi="Arial" w:cs="Arial"/>
          <w:sz w:val="20"/>
          <w:szCs w:val="20"/>
        </w:rPr>
      </w:pPr>
    </w:p>
    <w:p w14:paraId="5B4CA6C6" w14:textId="77777777" w:rsidR="007C3C77" w:rsidRPr="00B90AFC" w:rsidRDefault="007C3C77" w:rsidP="007C3C77">
      <w:pPr>
        <w:spacing w:after="0" w:line="240" w:lineRule="auto"/>
        <w:jc w:val="both"/>
        <w:textAlignment w:val="baseline"/>
        <w:rPr>
          <w:rFonts w:ascii="Arial" w:hAnsi="Arial" w:cs="Arial"/>
          <w:b/>
          <w:bCs/>
          <w:sz w:val="20"/>
          <w:szCs w:val="20"/>
        </w:rPr>
      </w:pPr>
      <w:r w:rsidRPr="00B90AFC">
        <w:rPr>
          <w:rFonts w:ascii="Arial" w:hAnsi="Arial" w:cs="Arial"/>
          <w:b/>
          <w:bCs/>
          <w:sz w:val="20"/>
          <w:szCs w:val="20"/>
        </w:rPr>
        <w:t xml:space="preserve">2. </w:t>
      </w:r>
      <w:r>
        <w:rPr>
          <w:rFonts w:ascii="Arial" w:hAnsi="Arial" w:cs="Arial"/>
          <w:b/>
          <w:bCs/>
          <w:sz w:val="20"/>
          <w:szCs w:val="20"/>
        </w:rPr>
        <w:t>Filing</w:t>
      </w:r>
      <w:r w:rsidRPr="00B90AFC">
        <w:rPr>
          <w:rFonts w:ascii="Arial" w:hAnsi="Arial" w:cs="Arial"/>
          <w:b/>
          <w:bCs/>
          <w:sz w:val="20"/>
          <w:szCs w:val="20"/>
        </w:rPr>
        <w:t xml:space="preserve"> an opposition </w:t>
      </w:r>
      <w:r>
        <w:rPr>
          <w:rFonts w:ascii="Arial" w:hAnsi="Arial" w:cs="Arial"/>
          <w:b/>
          <w:bCs/>
          <w:sz w:val="20"/>
          <w:szCs w:val="20"/>
        </w:rPr>
        <w:t>or filing</w:t>
      </w:r>
      <w:r w:rsidRPr="00B90AFC">
        <w:rPr>
          <w:rFonts w:ascii="Arial" w:hAnsi="Arial" w:cs="Arial"/>
          <w:b/>
          <w:bCs/>
          <w:sz w:val="20"/>
          <w:szCs w:val="20"/>
        </w:rPr>
        <w:t xml:space="preserve"> a </w:t>
      </w:r>
      <w:r w:rsidRPr="00B90AFC">
        <w:rPr>
          <w:rFonts w:ascii="Arial" w:hAnsi="Arial" w:cs="Arial"/>
          <w:b/>
          <w:bCs/>
          <w:color w:val="222222"/>
          <w:sz w:val="20"/>
          <w:szCs w:val="20"/>
        </w:rPr>
        <w:t>third</w:t>
      </w:r>
      <w:r>
        <w:rPr>
          <w:rFonts w:ascii="Arial" w:hAnsi="Arial" w:cs="Arial"/>
          <w:b/>
          <w:bCs/>
          <w:color w:val="222222"/>
          <w:sz w:val="20"/>
          <w:szCs w:val="20"/>
        </w:rPr>
        <w:t>-</w:t>
      </w:r>
      <w:r w:rsidRPr="00B90AFC">
        <w:rPr>
          <w:rFonts w:ascii="Arial" w:hAnsi="Arial" w:cs="Arial"/>
          <w:b/>
          <w:bCs/>
          <w:color w:val="222222"/>
          <w:sz w:val="20"/>
          <w:szCs w:val="20"/>
        </w:rPr>
        <w:t>party observation</w:t>
      </w:r>
      <w:r>
        <w:rPr>
          <w:rFonts w:ascii="Arial" w:hAnsi="Arial" w:cs="Arial"/>
          <w:b/>
          <w:bCs/>
          <w:color w:val="222222"/>
          <w:sz w:val="20"/>
          <w:szCs w:val="20"/>
        </w:rPr>
        <w:t>, what are similarites and differences?</w:t>
      </w:r>
    </w:p>
    <w:p w14:paraId="26A6D006" w14:textId="77777777" w:rsidR="007C3C77" w:rsidRDefault="007C3C77" w:rsidP="007C3C77">
      <w:pPr>
        <w:spacing w:after="0" w:line="240" w:lineRule="auto"/>
        <w:jc w:val="both"/>
        <w:textAlignment w:val="baseline"/>
        <w:rPr>
          <w:rFonts w:ascii="Arial" w:hAnsi="Arial" w:cs="Arial"/>
          <w:sz w:val="20"/>
          <w:szCs w:val="20"/>
        </w:rPr>
      </w:pPr>
    </w:p>
    <w:p w14:paraId="688744B4" w14:textId="77777777" w:rsidR="007C3C77" w:rsidRDefault="007C3C77" w:rsidP="007C3C77">
      <w:pPr>
        <w:spacing w:after="0" w:line="240" w:lineRule="auto"/>
        <w:jc w:val="both"/>
        <w:textAlignment w:val="baseline"/>
        <w:rPr>
          <w:rFonts w:ascii="Arial" w:hAnsi="Arial" w:cs="Arial"/>
          <w:sz w:val="20"/>
          <w:szCs w:val="20"/>
        </w:rPr>
      </w:pPr>
      <w:r>
        <w:rPr>
          <w:rFonts w:ascii="Arial" w:hAnsi="Arial" w:cs="Arial"/>
          <w:sz w:val="20"/>
          <w:szCs w:val="20"/>
        </w:rPr>
        <w:t>A major distinction between f</w:t>
      </w:r>
      <w:r w:rsidRPr="00125626">
        <w:rPr>
          <w:rFonts w:ascii="Arial" w:hAnsi="Arial" w:cs="Arial"/>
          <w:sz w:val="20"/>
          <w:szCs w:val="20"/>
        </w:rPr>
        <w:t>iling an opposition and a third-party observation is the deadline set out for each procedure.</w:t>
      </w:r>
      <w:r>
        <w:rPr>
          <w:rFonts w:ascii="Arial" w:hAnsi="Arial" w:cs="Arial"/>
          <w:sz w:val="20"/>
          <w:szCs w:val="20"/>
        </w:rPr>
        <w:t xml:space="preserve"> </w:t>
      </w:r>
      <w:r w:rsidRPr="00661AE7">
        <w:rPr>
          <w:rFonts w:ascii="Arial" w:hAnsi="Arial" w:cs="Arial"/>
          <w:sz w:val="20"/>
          <w:szCs w:val="20"/>
        </w:rPr>
        <w:t xml:space="preserve">For an opposition, there is a strict filing deadline (i.e </w:t>
      </w:r>
      <w:r w:rsidRPr="00661AE7">
        <w:rPr>
          <w:rFonts w:ascii="Arial" w:hAnsi="Arial" w:cs="Arial"/>
          <w:b/>
          <w:bCs/>
          <w:sz w:val="20"/>
          <w:szCs w:val="20"/>
        </w:rPr>
        <w:t>5 months</w:t>
      </w:r>
      <w:r w:rsidRPr="00661AE7">
        <w:rPr>
          <w:rFonts w:ascii="Arial" w:hAnsi="Arial" w:cs="Arial"/>
          <w:sz w:val="20"/>
          <w:szCs w:val="20"/>
        </w:rPr>
        <w:t xml:space="preserve"> from the publication date of the </w:t>
      </w:r>
      <w:r w:rsidRPr="00661AE7">
        <w:rPr>
          <w:rFonts w:ascii="Arial" w:hAnsi="Arial" w:cs="Arial"/>
          <w:b/>
          <w:bCs/>
          <w:sz w:val="20"/>
          <w:szCs w:val="20"/>
        </w:rPr>
        <w:t>trademark</w:t>
      </w:r>
      <w:r w:rsidRPr="00661AE7">
        <w:rPr>
          <w:rFonts w:ascii="Arial" w:hAnsi="Arial" w:cs="Arial"/>
          <w:sz w:val="20"/>
          <w:szCs w:val="20"/>
        </w:rPr>
        <w:t xml:space="preserve"> application</w:t>
      </w:r>
      <w:r>
        <w:rPr>
          <w:rFonts w:ascii="Arial" w:hAnsi="Arial" w:cs="Arial"/>
          <w:sz w:val="20"/>
          <w:szCs w:val="20"/>
        </w:rPr>
        <w:t xml:space="preserve">. For </w:t>
      </w:r>
      <w:r w:rsidRPr="005A657C">
        <w:rPr>
          <w:rFonts w:ascii="Arial" w:hAnsi="Arial" w:cs="Arial"/>
          <w:b/>
          <w:bCs/>
          <w:sz w:val="20"/>
          <w:szCs w:val="20"/>
        </w:rPr>
        <w:t>industrial design</w:t>
      </w:r>
      <w:r>
        <w:rPr>
          <w:rFonts w:ascii="Arial" w:hAnsi="Arial" w:cs="Arial"/>
          <w:sz w:val="20"/>
          <w:szCs w:val="20"/>
        </w:rPr>
        <w:t xml:space="preserve"> and </w:t>
      </w:r>
      <w:r w:rsidRPr="005A657C">
        <w:rPr>
          <w:rFonts w:ascii="Arial" w:hAnsi="Arial" w:cs="Arial"/>
          <w:b/>
          <w:bCs/>
          <w:sz w:val="20"/>
          <w:szCs w:val="20"/>
        </w:rPr>
        <w:t>patent</w:t>
      </w:r>
      <w:r>
        <w:rPr>
          <w:rFonts w:ascii="Arial" w:hAnsi="Arial" w:cs="Arial"/>
          <w:sz w:val="20"/>
          <w:szCs w:val="20"/>
        </w:rPr>
        <w:t xml:space="preserve"> applications, the deadline is </w:t>
      </w:r>
      <w:r w:rsidRPr="005A657C">
        <w:rPr>
          <w:rFonts w:ascii="Arial" w:hAnsi="Arial" w:cs="Arial"/>
          <w:b/>
          <w:bCs/>
          <w:sz w:val="20"/>
          <w:szCs w:val="20"/>
        </w:rPr>
        <w:t>04 months</w:t>
      </w:r>
      <w:r>
        <w:rPr>
          <w:rFonts w:ascii="Arial" w:hAnsi="Arial" w:cs="Arial"/>
          <w:sz w:val="20"/>
          <w:szCs w:val="20"/>
        </w:rPr>
        <w:t xml:space="preserve"> and </w:t>
      </w:r>
      <w:r w:rsidRPr="005A657C">
        <w:rPr>
          <w:rFonts w:ascii="Arial" w:hAnsi="Arial" w:cs="Arial"/>
          <w:b/>
          <w:bCs/>
          <w:sz w:val="20"/>
          <w:szCs w:val="20"/>
        </w:rPr>
        <w:t>09 months</w:t>
      </w:r>
      <w:r>
        <w:rPr>
          <w:rFonts w:ascii="Arial" w:hAnsi="Arial" w:cs="Arial"/>
          <w:sz w:val="20"/>
          <w:szCs w:val="20"/>
        </w:rPr>
        <w:t xml:space="preserve"> respectively</w:t>
      </w:r>
      <w:r w:rsidRPr="00661AE7">
        <w:rPr>
          <w:rFonts w:ascii="Arial" w:hAnsi="Arial" w:cs="Arial"/>
          <w:sz w:val="20"/>
          <w:szCs w:val="20"/>
        </w:rPr>
        <w:t>)</w:t>
      </w:r>
      <w:r>
        <w:rPr>
          <w:rFonts w:ascii="Arial" w:hAnsi="Arial" w:cs="Arial"/>
          <w:sz w:val="20"/>
          <w:szCs w:val="20"/>
        </w:rPr>
        <w:t xml:space="preserve">. </w:t>
      </w:r>
      <w:r w:rsidRPr="00125626">
        <w:rPr>
          <w:rFonts w:ascii="Arial" w:hAnsi="Arial" w:cs="Arial"/>
          <w:sz w:val="20"/>
          <w:szCs w:val="20"/>
        </w:rPr>
        <w:t xml:space="preserve">Meanwhile, </w:t>
      </w:r>
      <w:r w:rsidRPr="00661AE7">
        <w:rPr>
          <w:rFonts w:ascii="Arial" w:hAnsi="Arial" w:cs="Arial"/>
          <w:b/>
          <w:bCs/>
          <w:sz w:val="20"/>
          <w:szCs w:val="20"/>
        </w:rPr>
        <w:t>no hard deadline</w:t>
      </w:r>
      <w:r w:rsidRPr="00125626">
        <w:rPr>
          <w:rFonts w:ascii="Arial" w:hAnsi="Arial" w:cs="Arial"/>
          <w:sz w:val="20"/>
          <w:szCs w:val="20"/>
        </w:rPr>
        <w:t xml:space="preserve"> is set out for filing </w:t>
      </w:r>
      <w:r w:rsidRPr="00661AE7">
        <w:rPr>
          <w:rFonts w:ascii="Arial" w:hAnsi="Arial" w:cs="Arial"/>
          <w:b/>
          <w:bCs/>
          <w:sz w:val="20"/>
          <w:szCs w:val="20"/>
        </w:rPr>
        <w:t>observations</w:t>
      </w:r>
      <w:r w:rsidRPr="00125626">
        <w:rPr>
          <w:rFonts w:ascii="Arial" w:hAnsi="Arial" w:cs="Arial"/>
          <w:sz w:val="20"/>
          <w:szCs w:val="20"/>
        </w:rPr>
        <w:t>. An observation may be filed during the pendency of a trademark application in Vietnam from its publication</w:t>
      </w:r>
      <w:r>
        <w:rPr>
          <w:rFonts w:ascii="Arial" w:hAnsi="Arial" w:cs="Arial"/>
          <w:sz w:val="20"/>
          <w:szCs w:val="20"/>
        </w:rPr>
        <w:t xml:space="preserve"> </w:t>
      </w:r>
      <w:r w:rsidRPr="00661AE7">
        <w:rPr>
          <w:rFonts w:ascii="Arial" w:hAnsi="Arial" w:cs="Arial"/>
          <w:sz w:val="20"/>
          <w:szCs w:val="20"/>
        </w:rPr>
        <w:t xml:space="preserve">until </w:t>
      </w:r>
      <w:r w:rsidRPr="00FE64D3">
        <w:rPr>
          <w:rFonts w:ascii="Arial" w:hAnsi="Arial" w:cs="Arial"/>
          <w:sz w:val="20"/>
          <w:szCs w:val="20"/>
        </w:rPr>
        <w:t>IP VIETNAM</w:t>
      </w:r>
      <w:r w:rsidRPr="00661AE7">
        <w:rPr>
          <w:rFonts w:ascii="Arial" w:hAnsi="Arial" w:cs="Arial"/>
          <w:sz w:val="20"/>
          <w:szCs w:val="20"/>
        </w:rPr>
        <w:t xml:space="preserve"> issues a Decision to grant a trademark registration certificate</w:t>
      </w:r>
      <w:r>
        <w:rPr>
          <w:rFonts w:ascii="Arial" w:hAnsi="Arial" w:cs="Arial"/>
          <w:sz w:val="20"/>
          <w:szCs w:val="20"/>
        </w:rPr>
        <w:t>.</w:t>
      </w:r>
    </w:p>
    <w:p w14:paraId="28639505" w14:textId="77777777" w:rsidR="007C3C77" w:rsidRPr="00B86B20" w:rsidRDefault="007C3C77" w:rsidP="007C3C77">
      <w:pPr>
        <w:spacing w:after="0" w:line="240" w:lineRule="auto"/>
        <w:jc w:val="both"/>
        <w:textAlignment w:val="baseline"/>
        <w:rPr>
          <w:rFonts w:ascii="Arial" w:hAnsi="Arial" w:cs="Arial"/>
          <w:sz w:val="20"/>
          <w:szCs w:val="20"/>
        </w:rPr>
      </w:pPr>
    </w:p>
    <w:tbl>
      <w:tblPr>
        <w:tblStyle w:val="TableGrid"/>
        <w:tblW w:w="9355" w:type="dxa"/>
        <w:tbl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insideH w:val="single" w:sz="4" w:space="0" w:color="C45911" w:themeColor="accent2" w:themeShade="BF"/>
          <w:insideV w:val="single" w:sz="4" w:space="0" w:color="C45911" w:themeColor="accent2" w:themeShade="BF"/>
        </w:tblBorders>
        <w:tblLayout w:type="fixed"/>
        <w:tblLook w:val="04A0" w:firstRow="1" w:lastRow="0" w:firstColumn="1" w:lastColumn="0" w:noHBand="0" w:noVBand="1"/>
      </w:tblPr>
      <w:tblGrid>
        <w:gridCol w:w="1525"/>
        <w:gridCol w:w="1350"/>
        <w:gridCol w:w="3443"/>
        <w:gridCol w:w="3037"/>
      </w:tblGrid>
      <w:tr w:rsidR="007C3C77" w:rsidRPr="00B86B20" w14:paraId="52E30DDB" w14:textId="77777777" w:rsidTr="00B141CA">
        <w:tc>
          <w:tcPr>
            <w:tcW w:w="1525" w:type="dxa"/>
            <w:shd w:val="pct20" w:color="auto" w:fill="auto"/>
          </w:tcPr>
          <w:p w14:paraId="0F589C50" w14:textId="77777777" w:rsidR="007C3C77" w:rsidRPr="00B86B20" w:rsidRDefault="007C3C77" w:rsidP="00B141CA">
            <w:pPr>
              <w:jc w:val="center"/>
              <w:textAlignment w:val="baseline"/>
              <w:rPr>
                <w:rFonts w:ascii="Arial" w:hAnsi="Arial" w:cs="Arial"/>
                <w:b/>
                <w:bCs/>
                <w:sz w:val="20"/>
                <w:szCs w:val="20"/>
              </w:rPr>
            </w:pPr>
            <w:r w:rsidRPr="00B86B20">
              <w:rPr>
                <w:rFonts w:ascii="Arial" w:hAnsi="Arial" w:cs="Arial"/>
                <w:b/>
                <w:bCs/>
                <w:sz w:val="20"/>
                <w:szCs w:val="20"/>
              </w:rPr>
              <w:t>Comparison</w:t>
            </w:r>
          </w:p>
        </w:tc>
        <w:tc>
          <w:tcPr>
            <w:tcW w:w="1350" w:type="dxa"/>
            <w:shd w:val="pct20" w:color="auto" w:fill="auto"/>
          </w:tcPr>
          <w:p w14:paraId="55716514" w14:textId="77777777" w:rsidR="007C3C77" w:rsidRPr="00B86B20" w:rsidRDefault="007C3C77" w:rsidP="00B141CA">
            <w:pPr>
              <w:jc w:val="center"/>
              <w:textAlignment w:val="baseline"/>
              <w:rPr>
                <w:rFonts w:ascii="Arial" w:hAnsi="Arial" w:cs="Arial"/>
                <w:b/>
                <w:bCs/>
                <w:sz w:val="20"/>
                <w:szCs w:val="20"/>
              </w:rPr>
            </w:pPr>
            <w:r w:rsidRPr="00B86B20">
              <w:rPr>
                <w:rFonts w:ascii="Arial" w:hAnsi="Arial" w:cs="Arial"/>
                <w:b/>
                <w:bCs/>
                <w:sz w:val="20"/>
                <w:szCs w:val="20"/>
              </w:rPr>
              <w:t>Criteria</w:t>
            </w:r>
          </w:p>
        </w:tc>
        <w:tc>
          <w:tcPr>
            <w:tcW w:w="3443" w:type="dxa"/>
            <w:shd w:val="pct20" w:color="auto" w:fill="auto"/>
          </w:tcPr>
          <w:p w14:paraId="7A3F9D0F" w14:textId="77777777" w:rsidR="007C3C77" w:rsidRPr="00B86B20" w:rsidRDefault="007C3C77" w:rsidP="00B141CA">
            <w:pPr>
              <w:jc w:val="center"/>
              <w:textAlignment w:val="baseline"/>
              <w:rPr>
                <w:rFonts w:ascii="Arial" w:hAnsi="Arial" w:cs="Arial"/>
                <w:b/>
                <w:bCs/>
                <w:sz w:val="20"/>
                <w:szCs w:val="20"/>
              </w:rPr>
            </w:pPr>
            <w:r w:rsidRPr="00B86B20">
              <w:rPr>
                <w:rFonts w:ascii="Arial" w:hAnsi="Arial" w:cs="Arial"/>
                <w:b/>
                <w:bCs/>
                <w:sz w:val="20"/>
                <w:szCs w:val="20"/>
              </w:rPr>
              <w:t>Third party observation</w:t>
            </w:r>
          </w:p>
          <w:p w14:paraId="75793EC2" w14:textId="77777777" w:rsidR="007C3C77" w:rsidRPr="00B86B20" w:rsidRDefault="007C3C77" w:rsidP="00B141CA">
            <w:pPr>
              <w:jc w:val="center"/>
              <w:textAlignment w:val="baseline"/>
              <w:rPr>
                <w:rFonts w:ascii="Arial" w:hAnsi="Arial" w:cs="Arial"/>
                <w:b/>
                <w:bCs/>
                <w:sz w:val="20"/>
                <w:szCs w:val="20"/>
              </w:rPr>
            </w:pPr>
            <w:r w:rsidRPr="00B86B20">
              <w:rPr>
                <w:rFonts w:ascii="Arial" w:hAnsi="Arial" w:cs="Arial"/>
                <w:b/>
                <w:bCs/>
                <w:sz w:val="20"/>
                <w:szCs w:val="20"/>
              </w:rPr>
              <w:t>(Article 112)</w:t>
            </w:r>
          </w:p>
        </w:tc>
        <w:tc>
          <w:tcPr>
            <w:tcW w:w="3037" w:type="dxa"/>
            <w:shd w:val="pct20" w:color="auto" w:fill="auto"/>
          </w:tcPr>
          <w:p w14:paraId="4769917C" w14:textId="77777777" w:rsidR="007C3C77" w:rsidRPr="00B86B20" w:rsidRDefault="007C3C77" w:rsidP="00B141CA">
            <w:pPr>
              <w:jc w:val="center"/>
              <w:textAlignment w:val="baseline"/>
              <w:rPr>
                <w:rFonts w:ascii="Arial" w:hAnsi="Arial" w:cs="Arial"/>
                <w:b/>
                <w:bCs/>
                <w:sz w:val="20"/>
                <w:szCs w:val="20"/>
              </w:rPr>
            </w:pPr>
            <w:r w:rsidRPr="00B86B20">
              <w:rPr>
                <w:rFonts w:ascii="Arial" w:hAnsi="Arial" w:cs="Arial"/>
                <w:b/>
                <w:bCs/>
                <w:sz w:val="20"/>
                <w:szCs w:val="20"/>
              </w:rPr>
              <w:t>Third party opposition</w:t>
            </w:r>
          </w:p>
          <w:p w14:paraId="37FF2960" w14:textId="77777777" w:rsidR="007C3C77" w:rsidRPr="00B86B20" w:rsidRDefault="007C3C77" w:rsidP="00B141CA">
            <w:pPr>
              <w:jc w:val="center"/>
              <w:textAlignment w:val="baseline"/>
              <w:rPr>
                <w:rFonts w:ascii="Arial" w:hAnsi="Arial" w:cs="Arial"/>
                <w:b/>
                <w:bCs/>
                <w:sz w:val="20"/>
                <w:szCs w:val="20"/>
              </w:rPr>
            </w:pPr>
            <w:r w:rsidRPr="00B86B20">
              <w:rPr>
                <w:rFonts w:ascii="Arial" w:hAnsi="Arial" w:cs="Arial"/>
                <w:b/>
                <w:bCs/>
                <w:sz w:val="20"/>
                <w:szCs w:val="20"/>
              </w:rPr>
              <w:t>(Article 112a)</w:t>
            </w:r>
          </w:p>
        </w:tc>
      </w:tr>
      <w:tr w:rsidR="007C3C77" w:rsidRPr="00B86B20" w14:paraId="55EB4D37" w14:textId="77777777" w:rsidTr="00B141CA">
        <w:tc>
          <w:tcPr>
            <w:tcW w:w="1525" w:type="dxa"/>
          </w:tcPr>
          <w:p w14:paraId="6B977D6C" w14:textId="77777777" w:rsidR="007C3C77" w:rsidRPr="00B86B20" w:rsidRDefault="007C3C77" w:rsidP="00B141CA">
            <w:pPr>
              <w:jc w:val="both"/>
              <w:textAlignment w:val="baseline"/>
              <w:rPr>
                <w:rFonts w:ascii="Arial" w:hAnsi="Arial" w:cs="Arial"/>
                <w:sz w:val="20"/>
                <w:szCs w:val="20"/>
              </w:rPr>
            </w:pPr>
            <w:r w:rsidRPr="00B86B20">
              <w:rPr>
                <w:rFonts w:ascii="Arial" w:hAnsi="Arial" w:cs="Arial"/>
                <w:sz w:val="20"/>
                <w:szCs w:val="20"/>
              </w:rPr>
              <w:t xml:space="preserve">Similarity </w:t>
            </w:r>
          </w:p>
        </w:tc>
        <w:tc>
          <w:tcPr>
            <w:tcW w:w="7830" w:type="dxa"/>
            <w:gridSpan w:val="3"/>
          </w:tcPr>
          <w:p w14:paraId="2DB38388" w14:textId="77777777" w:rsidR="007C3C77" w:rsidRPr="00B86B20" w:rsidRDefault="007C3C77" w:rsidP="007C3C77">
            <w:pPr>
              <w:pStyle w:val="ListParagraph"/>
              <w:numPr>
                <w:ilvl w:val="0"/>
                <w:numId w:val="8"/>
              </w:numPr>
              <w:ind w:left="436"/>
              <w:jc w:val="both"/>
              <w:textAlignment w:val="baseline"/>
              <w:rPr>
                <w:rFonts w:ascii="Arial" w:hAnsi="Arial" w:cs="Arial"/>
                <w:sz w:val="20"/>
                <w:szCs w:val="20"/>
              </w:rPr>
            </w:pPr>
            <w:r w:rsidRPr="00B86B20">
              <w:rPr>
                <w:rFonts w:ascii="Arial" w:hAnsi="Arial" w:cs="Arial"/>
                <w:sz w:val="20"/>
                <w:szCs w:val="20"/>
              </w:rPr>
              <w:t>Before the date of issuance of the decision on granting a protection title, any third party has the right to give an opinion against or to oppose to the grant of a protection title.</w:t>
            </w:r>
          </w:p>
          <w:p w14:paraId="5AC9D671" w14:textId="77777777" w:rsidR="007C3C77" w:rsidRPr="00B86B20" w:rsidRDefault="007C3C77" w:rsidP="007C3C77">
            <w:pPr>
              <w:pStyle w:val="ListParagraph"/>
              <w:numPr>
                <w:ilvl w:val="0"/>
                <w:numId w:val="8"/>
              </w:numPr>
              <w:ind w:left="436"/>
              <w:jc w:val="both"/>
              <w:textAlignment w:val="baseline"/>
              <w:rPr>
                <w:rFonts w:ascii="Arial" w:hAnsi="Arial" w:cs="Arial"/>
                <w:sz w:val="20"/>
                <w:szCs w:val="20"/>
              </w:rPr>
            </w:pPr>
            <w:r w:rsidRPr="00B86B20">
              <w:rPr>
                <w:rFonts w:ascii="Arial" w:hAnsi="Arial" w:cs="Arial"/>
                <w:sz w:val="20"/>
                <w:szCs w:val="20"/>
              </w:rPr>
              <w:t>No interest is required for the filing of a third-party observation or opposition.</w:t>
            </w:r>
          </w:p>
          <w:p w14:paraId="0C348552" w14:textId="77777777" w:rsidR="007C3C77" w:rsidRPr="00B86B20" w:rsidRDefault="007C3C77" w:rsidP="007C3C77">
            <w:pPr>
              <w:pStyle w:val="ListParagraph"/>
              <w:numPr>
                <w:ilvl w:val="0"/>
                <w:numId w:val="8"/>
              </w:numPr>
              <w:ind w:left="436"/>
              <w:jc w:val="both"/>
              <w:textAlignment w:val="baseline"/>
              <w:rPr>
                <w:rFonts w:ascii="Arial" w:hAnsi="Arial" w:cs="Arial"/>
                <w:sz w:val="20"/>
                <w:szCs w:val="20"/>
              </w:rPr>
            </w:pPr>
            <w:r w:rsidRPr="00B86B20">
              <w:rPr>
                <w:rFonts w:ascii="Arial" w:hAnsi="Arial" w:cs="Arial"/>
                <w:sz w:val="20"/>
                <w:szCs w:val="20"/>
              </w:rPr>
              <w:t>Third-party observation /Oppositions must be submitted in writing, stating the legal grounds, analysis, and arguments.</w:t>
            </w:r>
          </w:p>
        </w:tc>
      </w:tr>
      <w:tr w:rsidR="007C3C77" w:rsidRPr="00B86B20" w14:paraId="6E89200F" w14:textId="77777777" w:rsidTr="00B141CA">
        <w:tc>
          <w:tcPr>
            <w:tcW w:w="1525" w:type="dxa"/>
            <w:vMerge w:val="restart"/>
          </w:tcPr>
          <w:p w14:paraId="3EFE1A30" w14:textId="77777777" w:rsidR="007C3C77" w:rsidRPr="00B86B20" w:rsidRDefault="007C3C77" w:rsidP="00B141CA">
            <w:pPr>
              <w:jc w:val="both"/>
              <w:textAlignment w:val="baseline"/>
              <w:rPr>
                <w:rFonts w:ascii="Arial" w:hAnsi="Arial" w:cs="Arial"/>
                <w:sz w:val="20"/>
                <w:szCs w:val="20"/>
              </w:rPr>
            </w:pPr>
          </w:p>
          <w:p w14:paraId="353F69CC" w14:textId="77777777" w:rsidR="007C3C77" w:rsidRPr="00B86B20" w:rsidRDefault="007C3C77" w:rsidP="00B141CA">
            <w:pPr>
              <w:jc w:val="both"/>
              <w:textAlignment w:val="baseline"/>
              <w:rPr>
                <w:rFonts w:ascii="Arial" w:hAnsi="Arial" w:cs="Arial"/>
                <w:sz w:val="20"/>
                <w:szCs w:val="20"/>
              </w:rPr>
            </w:pPr>
          </w:p>
          <w:p w14:paraId="5CCA8017" w14:textId="77777777" w:rsidR="007C3C77" w:rsidRPr="00B86B20" w:rsidRDefault="007C3C77" w:rsidP="00B141CA">
            <w:pPr>
              <w:jc w:val="both"/>
              <w:textAlignment w:val="baseline"/>
              <w:rPr>
                <w:rFonts w:ascii="Arial" w:hAnsi="Arial" w:cs="Arial"/>
                <w:sz w:val="20"/>
                <w:szCs w:val="20"/>
              </w:rPr>
            </w:pPr>
            <w:r w:rsidRPr="00B86B20">
              <w:rPr>
                <w:rFonts w:ascii="Arial" w:hAnsi="Arial" w:cs="Arial"/>
                <w:sz w:val="20"/>
                <w:szCs w:val="20"/>
              </w:rPr>
              <w:t xml:space="preserve">Difference </w:t>
            </w:r>
          </w:p>
        </w:tc>
        <w:tc>
          <w:tcPr>
            <w:tcW w:w="1350" w:type="dxa"/>
          </w:tcPr>
          <w:p w14:paraId="5FA0C90C" w14:textId="77777777" w:rsidR="007C3C77" w:rsidRPr="00B86B20" w:rsidRDefault="007C3C77" w:rsidP="00B141CA">
            <w:pPr>
              <w:jc w:val="both"/>
              <w:textAlignment w:val="baseline"/>
              <w:rPr>
                <w:rFonts w:ascii="Arial" w:hAnsi="Arial" w:cs="Arial"/>
                <w:sz w:val="20"/>
                <w:szCs w:val="20"/>
              </w:rPr>
            </w:pPr>
            <w:r w:rsidRPr="00B86B20">
              <w:rPr>
                <w:rFonts w:ascii="Arial" w:hAnsi="Arial" w:cs="Arial"/>
                <w:sz w:val="20"/>
                <w:szCs w:val="20"/>
              </w:rPr>
              <w:t>Fee</w:t>
            </w:r>
          </w:p>
        </w:tc>
        <w:tc>
          <w:tcPr>
            <w:tcW w:w="3443" w:type="dxa"/>
          </w:tcPr>
          <w:p w14:paraId="364DB145" w14:textId="77777777" w:rsidR="007C3C77" w:rsidRPr="00B86B20" w:rsidRDefault="007C3C77" w:rsidP="00B141CA">
            <w:pPr>
              <w:jc w:val="both"/>
              <w:textAlignment w:val="baseline"/>
              <w:rPr>
                <w:rFonts w:ascii="Arial" w:hAnsi="Arial" w:cs="Arial"/>
                <w:sz w:val="20"/>
                <w:szCs w:val="20"/>
              </w:rPr>
            </w:pPr>
            <w:r>
              <w:rPr>
                <w:rFonts w:ascii="Arial" w:hAnsi="Arial" w:cs="Arial"/>
                <w:sz w:val="20"/>
                <w:szCs w:val="20"/>
              </w:rPr>
              <w:t>No official fees</w:t>
            </w:r>
            <w:r w:rsidRPr="00B86B20">
              <w:rPr>
                <w:rFonts w:ascii="Arial" w:hAnsi="Arial" w:cs="Arial"/>
                <w:sz w:val="20"/>
                <w:szCs w:val="20"/>
              </w:rPr>
              <w:t xml:space="preserve"> </w:t>
            </w:r>
          </w:p>
        </w:tc>
        <w:tc>
          <w:tcPr>
            <w:tcW w:w="3037" w:type="dxa"/>
          </w:tcPr>
          <w:p w14:paraId="5D966AB9" w14:textId="77777777" w:rsidR="007C3C77" w:rsidRPr="00B86B20" w:rsidRDefault="007C3C77" w:rsidP="00B141CA">
            <w:pPr>
              <w:jc w:val="both"/>
              <w:textAlignment w:val="baseline"/>
              <w:rPr>
                <w:rFonts w:ascii="Arial" w:hAnsi="Arial" w:cs="Arial"/>
                <w:sz w:val="20"/>
                <w:szCs w:val="20"/>
              </w:rPr>
            </w:pPr>
            <w:r w:rsidRPr="00B86B20">
              <w:rPr>
                <w:rFonts w:ascii="Arial" w:hAnsi="Arial" w:cs="Arial"/>
                <w:sz w:val="20"/>
                <w:szCs w:val="20"/>
              </w:rPr>
              <w:t xml:space="preserve">Subject to prescribed fees </w:t>
            </w:r>
          </w:p>
        </w:tc>
      </w:tr>
      <w:tr w:rsidR="007C3C77" w:rsidRPr="00B86B20" w14:paraId="4DE5FC90" w14:textId="77777777" w:rsidTr="00B141CA">
        <w:tc>
          <w:tcPr>
            <w:tcW w:w="1525" w:type="dxa"/>
            <w:vMerge/>
          </w:tcPr>
          <w:p w14:paraId="1D9FCC06" w14:textId="77777777" w:rsidR="007C3C77" w:rsidRPr="00B86B20" w:rsidRDefault="007C3C77" w:rsidP="00B141CA">
            <w:pPr>
              <w:jc w:val="both"/>
              <w:textAlignment w:val="baseline"/>
              <w:rPr>
                <w:rFonts w:ascii="Arial" w:hAnsi="Arial" w:cs="Arial"/>
                <w:sz w:val="20"/>
                <w:szCs w:val="20"/>
              </w:rPr>
            </w:pPr>
          </w:p>
        </w:tc>
        <w:tc>
          <w:tcPr>
            <w:tcW w:w="1350" w:type="dxa"/>
          </w:tcPr>
          <w:p w14:paraId="1662BD4D" w14:textId="77777777" w:rsidR="007C3C77" w:rsidRPr="00B86B20" w:rsidRDefault="007C3C77" w:rsidP="00B141CA">
            <w:pPr>
              <w:jc w:val="both"/>
              <w:textAlignment w:val="baseline"/>
              <w:rPr>
                <w:rFonts w:ascii="Arial" w:hAnsi="Arial" w:cs="Arial"/>
                <w:sz w:val="20"/>
                <w:szCs w:val="20"/>
              </w:rPr>
            </w:pPr>
            <w:r>
              <w:rPr>
                <w:rFonts w:ascii="Arial" w:hAnsi="Arial" w:cs="Arial"/>
                <w:sz w:val="20"/>
                <w:szCs w:val="20"/>
              </w:rPr>
              <w:t>Deadline</w:t>
            </w:r>
          </w:p>
        </w:tc>
        <w:tc>
          <w:tcPr>
            <w:tcW w:w="3443" w:type="dxa"/>
          </w:tcPr>
          <w:p w14:paraId="6504F283" w14:textId="77777777" w:rsidR="007C3C77" w:rsidRPr="00B86B20" w:rsidRDefault="007C3C77" w:rsidP="00B141CA">
            <w:pPr>
              <w:jc w:val="both"/>
              <w:textAlignment w:val="baseline"/>
              <w:rPr>
                <w:rFonts w:ascii="Arial" w:hAnsi="Arial" w:cs="Arial"/>
                <w:sz w:val="20"/>
                <w:szCs w:val="20"/>
              </w:rPr>
            </w:pPr>
            <w:r w:rsidRPr="00B86B20">
              <w:rPr>
                <w:rFonts w:ascii="Arial" w:hAnsi="Arial" w:cs="Arial"/>
                <w:sz w:val="20"/>
                <w:szCs w:val="20"/>
              </w:rPr>
              <w:t xml:space="preserve">Third party’s observation may be filed </w:t>
            </w:r>
            <w:r w:rsidRPr="00C50D39">
              <w:rPr>
                <w:rFonts w:ascii="Arial" w:hAnsi="Arial" w:cs="Arial"/>
                <w:sz w:val="20"/>
                <w:szCs w:val="20"/>
                <w:u w:val="single"/>
              </w:rPr>
              <w:t xml:space="preserve">during the trademark </w:t>
            </w:r>
            <w:r>
              <w:rPr>
                <w:rFonts w:ascii="Arial" w:hAnsi="Arial" w:cs="Arial"/>
                <w:sz w:val="20"/>
                <w:szCs w:val="20"/>
                <w:u w:val="single"/>
              </w:rPr>
              <w:t xml:space="preserve">substantive </w:t>
            </w:r>
            <w:r w:rsidRPr="00C50D39">
              <w:rPr>
                <w:rFonts w:ascii="Arial" w:hAnsi="Arial" w:cs="Arial"/>
                <w:sz w:val="20"/>
                <w:szCs w:val="20"/>
                <w:u w:val="single"/>
              </w:rPr>
              <w:t>examination period</w:t>
            </w:r>
            <w:r w:rsidRPr="00B86B20">
              <w:rPr>
                <w:rFonts w:ascii="Arial" w:hAnsi="Arial" w:cs="Arial"/>
                <w:sz w:val="20"/>
                <w:szCs w:val="20"/>
              </w:rPr>
              <w:t xml:space="preserve">, provided that such opinions are submitted before IP VIETNAM issues a decision to grant a protection title. </w:t>
            </w:r>
          </w:p>
        </w:tc>
        <w:tc>
          <w:tcPr>
            <w:tcW w:w="3037" w:type="dxa"/>
          </w:tcPr>
          <w:p w14:paraId="09D866A2" w14:textId="77777777" w:rsidR="007C3C77" w:rsidRPr="00B86B20" w:rsidRDefault="007C3C77" w:rsidP="00B141CA">
            <w:pPr>
              <w:jc w:val="both"/>
              <w:textAlignment w:val="baseline"/>
              <w:rPr>
                <w:rFonts w:ascii="Arial" w:hAnsi="Arial" w:cs="Arial"/>
                <w:sz w:val="20"/>
                <w:szCs w:val="20"/>
              </w:rPr>
            </w:pPr>
            <w:r w:rsidRPr="00B86B20">
              <w:rPr>
                <w:rFonts w:ascii="Arial" w:hAnsi="Arial" w:cs="Arial"/>
                <w:sz w:val="20"/>
                <w:szCs w:val="20"/>
              </w:rPr>
              <w:t xml:space="preserve">Opposition must be filed </w:t>
            </w:r>
            <w:r w:rsidRPr="00C50D39">
              <w:rPr>
                <w:rFonts w:ascii="Arial" w:hAnsi="Arial" w:cs="Arial"/>
                <w:b/>
                <w:bCs/>
                <w:sz w:val="20"/>
                <w:szCs w:val="20"/>
              </w:rPr>
              <w:t>within 5 months</w:t>
            </w:r>
            <w:r w:rsidRPr="00B86B20">
              <w:rPr>
                <w:rFonts w:ascii="Arial" w:hAnsi="Arial" w:cs="Arial"/>
                <w:sz w:val="20"/>
                <w:szCs w:val="20"/>
              </w:rPr>
              <w:t xml:space="preserve"> from the publication date of the trademark application and before the issuing date a decision on the grant of a protection title. </w:t>
            </w:r>
          </w:p>
        </w:tc>
      </w:tr>
      <w:tr w:rsidR="007C3C77" w:rsidRPr="00B86B20" w14:paraId="7FD05275" w14:textId="77777777" w:rsidTr="00B141CA">
        <w:tc>
          <w:tcPr>
            <w:tcW w:w="1525" w:type="dxa"/>
            <w:vMerge/>
          </w:tcPr>
          <w:p w14:paraId="0B17047F" w14:textId="77777777" w:rsidR="007C3C77" w:rsidRPr="00B86B20" w:rsidRDefault="007C3C77" w:rsidP="00B141CA">
            <w:pPr>
              <w:jc w:val="both"/>
              <w:textAlignment w:val="baseline"/>
              <w:rPr>
                <w:rFonts w:ascii="Arial" w:hAnsi="Arial" w:cs="Arial"/>
                <w:sz w:val="20"/>
                <w:szCs w:val="20"/>
              </w:rPr>
            </w:pPr>
          </w:p>
        </w:tc>
        <w:tc>
          <w:tcPr>
            <w:tcW w:w="1350" w:type="dxa"/>
          </w:tcPr>
          <w:p w14:paraId="0D1429FF" w14:textId="77777777" w:rsidR="007C3C77" w:rsidRPr="00B86B20" w:rsidRDefault="007C3C77" w:rsidP="00B141CA">
            <w:pPr>
              <w:jc w:val="both"/>
              <w:textAlignment w:val="baseline"/>
              <w:rPr>
                <w:rFonts w:ascii="Arial" w:hAnsi="Arial" w:cs="Arial"/>
                <w:sz w:val="20"/>
                <w:szCs w:val="20"/>
              </w:rPr>
            </w:pPr>
            <w:r w:rsidRPr="00B86B20">
              <w:rPr>
                <w:rFonts w:ascii="Arial" w:hAnsi="Arial" w:cs="Arial"/>
                <w:sz w:val="20"/>
                <w:szCs w:val="20"/>
              </w:rPr>
              <w:t>Procedure</w:t>
            </w:r>
          </w:p>
        </w:tc>
        <w:tc>
          <w:tcPr>
            <w:tcW w:w="3443" w:type="dxa"/>
          </w:tcPr>
          <w:p w14:paraId="599BD568" w14:textId="77777777" w:rsidR="007C3C77" w:rsidRPr="00B86B20" w:rsidRDefault="007C3C77" w:rsidP="00B141CA">
            <w:pPr>
              <w:jc w:val="both"/>
              <w:textAlignment w:val="baseline"/>
              <w:rPr>
                <w:rFonts w:ascii="Arial" w:hAnsi="Arial" w:cs="Arial"/>
                <w:sz w:val="20"/>
                <w:szCs w:val="20"/>
              </w:rPr>
            </w:pPr>
            <w:r w:rsidRPr="00B86B20">
              <w:rPr>
                <w:rFonts w:ascii="Arial" w:hAnsi="Arial" w:cs="Arial"/>
                <w:sz w:val="20"/>
                <w:szCs w:val="20"/>
              </w:rPr>
              <w:t>IP VIETNAM only receives the third-party observation, but may not respond or initiate its own procedures to deal with such third-party observation.</w:t>
            </w:r>
          </w:p>
        </w:tc>
        <w:tc>
          <w:tcPr>
            <w:tcW w:w="3037" w:type="dxa"/>
          </w:tcPr>
          <w:p w14:paraId="4A56D258" w14:textId="77777777" w:rsidR="007C3C77" w:rsidRPr="00B86B20" w:rsidRDefault="007C3C77" w:rsidP="00B141CA">
            <w:pPr>
              <w:jc w:val="both"/>
              <w:textAlignment w:val="baseline"/>
              <w:rPr>
                <w:rFonts w:ascii="Arial" w:hAnsi="Arial" w:cs="Arial"/>
                <w:sz w:val="20"/>
                <w:szCs w:val="20"/>
              </w:rPr>
            </w:pPr>
            <w:r w:rsidRPr="00B86B20">
              <w:rPr>
                <w:rFonts w:ascii="Arial" w:hAnsi="Arial" w:cs="Arial"/>
                <w:sz w:val="20"/>
                <w:szCs w:val="20"/>
              </w:rPr>
              <w:t>IP VIETNAM receives oppositions, issues opposition number, and initiate a specific procedure for addressing the third party’s opposition as an independent procedure (</w:t>
            </w:r>
            <w:r w:rsidRPr="00B86B20">
              <w:rPr>
                <w:rFonts w:ascii="Arial" w:hAnsi="Arial" w:cs="Arial"/>
                <w:i/>
                <w:sz w:val="20"/>
                <w:szCs w:val="20"/>
              </w:rPr>
              <w:t>similar to the procedure for invalidation, cancellation or appeal</w:t>
            </w:r>
            <w:r w:rsidRPr="00B86B20">
              <w:rPr>
                <w:rFonts w:ascii="Arial" w:hAnsi="Arial" w:cs="Arial"/>
                <w:sz w:val="20"/>
                <w:szCs w:val="20"/>
              </w:rPr>
              <w:t xml:space="preserve">). </w:t>
            </w:r>
          </w:p>
        </w:tc>
      </w:tr>
      <w:tr w:rsidR="007C3C77" w:rsidRPr="00B86B20" w14:paraId="0B8D4538" w14:textId="77777777" w:rsidTr="00B141CA">
        <w:tc>
          <w:tcPr>
            <w:tcW w:w="1525" w:type="dxa"/>
            <w:vMerge/>
          </w:tcPr>
          <w:p w14:paraId="75F84032" w14:textId="77777777" w:rsidR="007C3C77" w:rsidRPr="00B86B20" w:rsidRDefault="007C3C77" w:rsidP="00B141CA">
            <w:pPr>
              <w:jc w:val="both"/>
              <w:textAlignment w:val="baseline"/>
              <w:rPr>
                <w:rFonts w:ascii="Arial" w:hAnsi="Arial" w:cs="Arial"/>
                <w:sz w:val="20"/>
                <w:szCs w:val="20"/>
              </w:rPr>
            </w:pPr>
          </w:p>
        </w:tc>
        <w:tc>
          <w:tcPr>
            <w:tcW w:w="1350" w:type="dxa"/>
          </w:tcPr>
          <w:p w14:paraId="4FC3BB5E" w14:textId="77777777" w:rsidR="007C3C77" w:rsidRPr="00B86B20" w:rsidRDefault="007C3C77" w:rsidP="00B141CA">
            <w:pPr>
              <w:jc w:val="both"/>
              <w:textAlignment w:val="baseline"/>
              <w:rPr>
                <w:rFonts w:ascii="Arial" w:hAnsi="Arial" w:cs="Arial"/>
                <w:sz w:val="20"/>
                <w:szCs w:val="20"/>
              </w:rPr>
            </w:pPr>
            <w:r w:rsidRPr="00B86B20">
              <w:rPr>
                <w:rFonts w:ascii="Arial" w:hAnsi="Arial" w:cs="Arial"/>
                <w:sz w:val="20"/>
                <w:szCs w:val="20"/>
              </w:rPr>
              <w:t>Feature</w:t>
            </w:r>
          </w:p>
        </w:tc>
        <w:tc>
          <w:tcPr>
            <w:tcW w:w="3443" w:type="dxa"/>
          </w:tcPr>
          <w:p w14:paraId="22F7F312" w14:textId="77777777" w:rsidR="007C3C77" w:rsidRPr="00B86B20" w:rsidRDefault="007C3C77" w:rsidP="00B141CA">
            <w:pPr>
              <w:jc w:val="both"/>
              <w:textAlignment w:val="baseline"/>
              <w:rPr>
                <w:rFonts w:ascii="Arial" w:hAnsi="Arial" w:cs="Arial"/>
                <w:sz w:val="20"/>
                <w:szCs w:val="20"/>
              </w:rPr>
            </w:pPr>
            <w:r w:rsidRPr="00B86B20">
              <w:rPr>
                <w:rFonts w:ascii="Arial" w:hAnsi="Arial" w:cs="Arial"/>
                <w:sz w:val="20"/>
                <w:szCs w:val="20"/>
              </w:rPr>
              <w:t>Being only a reference source of information in prosecution of industrial property registration applications (</w:t>
            </w:r>
            <w:r w:rsidRPr="00B86B20">
              <w:rPr>
                <w:rFonts w:ascii="Arial" w:hAnsi="Arial" w:cs="Arial"/>
                <w:i/>
                <w:iCs/>
                <w:sz w:val="20"/>
                <w:szCs w:val="20"/>
              </w:rPr>
              <w:t>being</w:t>
            </w:r>
            <w:r w:rsidRPr="00B86B20">
              <w:rPr>
                <w:rFonts w:ascii="Arial" w:hAnsi="Arial" w:cs="Arial"/>
                <w:sz w:val="20"/>
                <w:szCs w:val="20"/>
              </w:rPr>
              <w:t xml:space="preserve"> </w:t>
            </w:r>
            <w:r w:rsidRPr="00B86B20">
              <w:rPr>
                <w:rFonts w:ascii="Arial" w:hAnsi="Arial" w:cs="Arial"/>
                <w:i/>
                <w:sz w:val="20"/>
                <w:szCs w:val="20"/>
              </w:rPr>
              <w:t>only opinions serving as reference information</w:t>
            </w:r>
            <w:r w:rsidRPr="00B86B20">
              <w:rPr>
                <w:rFonts w:ascii="Arial" w:hAnsi="Arial" w:cs="Arial"/>
                <w:sz w:val="20"/>
                <w:szCs w:val="20"/>
              </w:rPr>
              <w:t>)</w:t>
            </w:r>
          </w:p>
        </w:tc>
        <w:tc>
          <w:tcPr>
            <w:tcW w:w="3037" w:type="dxa"/>
          </w:tcPr>
          <w:p w14:paraId="1D34BEED" w14:textId="77777777" w:rsidR="007C3C77" w:rsidRPr="00B86B20" w:rsidRDefault="007C3C77" w:rsidP="00B141CA">
            <w:pPr>
              <w:jc w:val="both"/>
              <w:textAlignment w:val="baseline"/>
              <w:rPr>
                <w:rFonts w:ascii="Arial" w:hAnsi="Arial" w:cs="Arial"/>
                <w:sz w:val="20"/>
                <w:szCs w:val="20"/>
              </w:rPr>
            </w:pPr>
            <w:r w:rsidRPr="00B86B20">
              <w:rPr>
                <w:rFonts w:ascii="Arial" w:hAnsi="Arial" w:cs="Arial"/>
                <w:sz w:val="20"/>
                <w:szCs w:val="20"/>
              </w:rPr>
              <w:t>Being a separate and independent procedure, like</w:t>
            </w:r>
            <w:r>
              <w:rPr>
                <w:rFonts w:ascii="Arial" w:hAnsi="Arial" w:cs="Arial"/>
                <w:sz w:val="20"/>
                <w:szCs w:val="20"/>
              </w:rPr>
              <w:t xml:space="preserve"> trademark cancellation</w:t>
            </w:r>
            <w:r w:rsidRPr="00B86B20">
              <w:rPr>
                <w:rFonts w:ascii="Arial" w:hAnsi="Arial" w:cs="Arial"/>
                <w:sz w:val="20"/>
                <w:szCs w:val="20"/>
              </w:rPr>
              <w:t>, invalidation or appea</w:t>
            </w:r>
            <w:r>
              <w:rPr>
                <w:rFonts w:ascii="Arial" w:hAnsi="Arial" w:cs="Arial"/>
                <w:sz w:val="20"/>
                <w:szCs w:val="20"/>
              </w:rPr>
              <w:t>l proceedings.</w:t>
            </w:r>
          </w:p>
        </w:tc>
      </w:tr>
    </w:tbl>
    <w:p w14:paraId="45A534E2" w14:textId="77777777" w:rsidR="007C3C77" w:rsidRDefault="007C3C77" w:rsidP="007C3C77">
      <w:pPr>
        <w:spacing w:after="0" w:line="240" w:lineRule="auto"/>
        <w:jc w:val="both"/>
        <w:rPr>
          <w:rFonts w:ascii="Arial" w:hAnsi="Arial" w:cs="Arial"/>
          <w:sz w:val="20"/>
          <w:szCs w:val="20"/>
        </w:rPr>
      </w:pPr>
    </w:p>
    <w:p w14:paraId="6DEA9D23" w14:textId="40B95203" w:rsidR="007C3C77" w:rsidRPr="00507971" w:rsidRDefault="007C3C77" w:rsidP="007C3C77">
      <w:pPr>
        <w:spacing w:after="0" w:line="240" w:lineRule="auto"/>
        <w:jc w:val="both"/>
        <w:rPr>
          <w:rFonts w:ascii="Arial" w:hAnsi="Arial" w:cs="Arial"/>
          <w:b/>
          <w:bCs/>
          <w:sz w:val="20"/>
          <w:szCs w:val="20"/>
        </w:rPr>
      </w:pPr>
      <w:r>
        <w:rPr>
          <w:noProof/>
        </w:rPr>
        <w:lastRenderedPageBreak/>
        <mc:AlternateContent>
          <mc:Choice Requires="wps">
            <w:drawing>
              <wp:anchor distT="0" distB="0" distL="114300" distR="114300" simplePos="0" relativeHeight="251659264" behindDoc="0" locked="0" layoutInCell="1" allowOverlap="1" wp14:anchorId="208C223F" wp14:editId="093226A8">
                <wp:simplePos x="0" y="0"/>
                <wp:positionH relativeFrom="column">
                  <wp:posOffset>6372225</wp:posOffset>
                </wp:positionH>
                <wp:positionV relativeFrom="paragraph">
                  <wp:posOffset>-619760</wp:posOffset>
                </wp:positionV>
                <wp:extent cx="347980" cy="14291310"/>
                <wp:effectExtent l="0" t="0" r="0" b="0"/>
                <wp:wrapNone/>
                <wp:docPr id="1" name="Rectangle 2">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7980" cy="14291310"/>
                        </a:xfrm>
                        <a:prstGeom prst="rect">
                          <a:avLst/>
                        </a:prstGeom>
                        <a:solidFill>
                          <a:srgbClr val="00B39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11B0D3" w14:textId="77777777" w:rsidR="007C3C77" w:rsidRPr="00F2637F" w:rsidRDefault="007C3C77" w:rsidP="007C3C77">
                            <w:pPr>
                              <w:spacing w:after="0" w:line="240" w:lineRule="auto"/>
                              <w:rPr>
                                <w:rFonts w:ascii="Arial" w:hAnsi="Arial" w:cs="Arial"/>
                                <w:b/>
                                <w:color w:val="FFFFFF" w:themeColor="background1"/>
                                <w:sz w:val="20"/>
                                <w:szCs w:val="20"/>
                              </w:rPr>
                            </w:pPr>
                            <w:r>
                              <w:rPr>
                                <w:rFonts w:ascii="Arial" w:hAnsi="Arial" w:cs="Arial"/>
                                <w:b/>
                                <w:color w:val="FFFFFF" w:themeColor="background1"/>
                                <w:sz w:val="24"/>
                                <w:szCs w:val="24"/>
                              </w:rPr>
                              <w:t xml:space="preserve"> </w:t>
                            </w:r>
                            <w:r w:rsidRPr="007C3C77">
                              <w:rPr>
                                <w:rFonts w:ascii="Arial" w:hAnsi="Arial" w:cs="Arial"/>
                                <w:b/>
                                <w:color w:val="FFFFFF" w:themeColor="background1"/>
                                <w:sz w:val="24"/>
                                <w:szCs w:val="24"/>
                              </w:rPr>
                              <w:t>Third party observations and oppositions in Vietnam</w:t>
                            </w:r>
                          </w:p>
                        </w:txbxContent>
                      </wps:txbx>
                      <wps:bodyPr vert="vert" lIns="50800" tIns="50800" rIns="50800" bIns="50800" anchor="ctr">
                        <a:noAutofit/>
                      </wps:bodyPr>
                    </wps:wsp>
                  </a:graphicData>
                </a:graphic>
                <wp14:sizeRelH relativeFrom="margin">
                  <wp14:pctWidth>0</wp14:pctWidth>
                </wp14:sizeRelH>
                <wp14:sizeRelV relativeFrom="page">
                  <wp14:pctHeight>0</wp14:pctHeight>
                </wp14:sizeRelV>
              </wp:anchor>
            </w:drawing>
          </mc:Choice>
          <mc:Fallback>
            <w:pict>
              <v:rect w14:anchorId="208C223F" id="_x0000_s1028" style="position:absolute;left:0;text-align:left;margin-left:501.75pt;margin-top:-48.8pt;width:27.4pt;height:112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" fillcolor="#00b39c" stroked="f">
                <v:path arrowok="t"/>
                <v:textbox style="layout-flow:vertical" inset="4pt,4pt,4pt,4pt">
                  <w:txbxContent>
                    <w:p w14:paraId="0B11B0D3" w14:textId="77777777" w:rsidR="007C3C77" w:rsidRPr="00F2637F" w:rsidRDefault="007C3C77" w:rsidP="007C3C77">
                      <w:pPr>
                        <w:spacing w:after="0" w:line="240" w:lineRule="auto"/>
                        <w:rPr>
                          <w:rFonts w:ascii="Arial" w:hAnsi="Arial" w:cs="Arial"/>
                          <w:b/>
                          <w:color w:val="FFFFFF" w:themeColor="background1"/>
                          <w:sz w:val="20"/>
                          <w:szCs w:val="20"/>
                        </w:rPr>
                      </w:pPr>
                      <w:r>
                        <w:rPr>
                          <w:rFonts w:ascii="Arial" w:hAnsi="Arial" w:cs="Arial"/>
                          <w:b/>
                          <w:color w:val="FFFFFF" w:themeColor="background1"/>
                          <w:sz w:val="24"/>
                          <w:szCs w:val="24"/>
                        </w:rPr>
                        <w:t xml:space="preserve"> </w:t>
                      </w:r>
                      <w:r w:rsidRPr="007C3C77">
                        <w:rPr>
                          <w:rFonts w:ascii="Arial" w:hAnsi="Arial" w:cs="Arial"/>
                          <w:b/>
                          <w:color w:val="FFFFFF" w:themeColor="background1"/>
                          <w:sz w:val="24"/>
                          <w:szCs w:val="24"/>
                        </w:rPr>
                        <w:t>Third party observations and oppositions in Vietnam</w:t>
                      </w:r>
                    </w:p>
                  </w:txbxContent>
                </v:textbox>
              </v:rect>
            </w:pict>
          </mc:Fallback>
        </mc:AlternateContent>
      </w:r>
      <w:r w:rsidRPr="00507971">
        <w:rPr>
          <w:rFonts w:ascii="Arial" w:hAnsi="Arial" w:cs="Arial"/>
          <w:b/>
          <w:bCs/>
          <w:sz w:val="20"/>
          <w:szCs w:val="20"/>
        </w:rPr>
        <w:t>3. What are grounds to file an opposition/observation?</w:t>
      </w:r>
    </w:p>
    <w:p w14:paraId="5C9B3C27" w14:textId="77777777" w:rsidR="007C3C77" w:rsidRDefault="007C3C77" w:rsidP="007C3C77">
      <w:pPr>
        <w:spacing w:after="0" w:line="240" w:lineRule="auto"/>
        <w:jc w:val="both"/>
        <w:rPr>
          <w:rFonts w:ascii="Arial" w:hAnsi="Arial" w:cs="Arial"/>
          <w:sz w:val="20"/>
          <w:szCs w:val="20"/>
        </w:rPr>
      </w:pPr>
    </w:p>
    <w:p w14:paraId="4A5F887F" w14:textId="77777777" w:rsidR="007C3C77" w:rsidRDefault="007C3C77" w:rsidP="007C3C77">
      <w:pPr>
        <w:spacing w:after="0" w:line="240" w:lineRule="auto"/>
        <w:jc w:val="both"/>
        <w:rPr>
          <w:rFonts w:ascii="Arial" w:hAnsi="Arial" w:cs="Arial"/>
          <w:sz w:val="20"/>
          <w:szCs w:val="20"/>
        </w:rPr>
      </w:pPr>
      <w:r w:rsidRPr="00507971">
        <w:rPr>
          <w:rFonts w:ascii="Arial" w:hAnsi="Arial" w:cs="Arial"/>
          <w:sz w:val="20"/>
          <w:szCs w:val="20"/>
        </w:rPr>
        <w:t xml:space="preserve">A trademark application may be denied registration in Vietnam on </w:t>
      </w:r>
      <w:r w:rsidRPr="00507971">
        <w:rPr>
          <w:rFonts w:ascii="Arial" w:hAnsi="Arial" w:cs="Arial"/>
          <w:b/>
          <w:bCs/>
          <w:sz w:val="20"/>
          <w:szCs w:val="20"/>
        </w:rPr>
        <w:t>absolute</w:t>
      </w:r>
      <w:r w:rsidRPr="00507971">
        <w:rPr>
          <w:rFonts w:ascii="Arial" w:hAnsi="Arial" w:cs="Arial"/>
          <w:sz w:val="20"/>
          <w:szCs w:val="20"/>
        </w:rPr>
        <w:t xml:space="preserve"> and/or </w:t>
      </w:r>
      <w:r w:rsidRPr="00507971">
        <w:rPr>
          <w:rFonts w:ascii="Arial" w:hAnsi="Arial" w:cs="Arial"/>
          <w:b/>
          <w:bCs/>
          <w:sz w:val="20"/>
          <w:szCs w:val="20"/>
        </w:rPr>
        <w:t>relative</w:t>
      </w:r>
      <w:r w:rsidRPr="00507971">
        <w:rPr>
          <w:rFonts w:ascii="Arial" w:hAnsi="Arial" w:cs="Arial"/>
          <w:sz w:val="20"/>
          <w:szCs w:val="20"/>
        </w:rPr>
        <w:t xml:space="preserve"> grounds. Absolute grounds refer to the categories of signs that are excluded from registration by specific provisions of the trademark law. Relative grounds refer to those that arise due to the existence of prior rights, whether in the form of registered marks or otherwise.</w:t>
      </w:r>
      <w:r>
        <w:rPr>
          <w:rFonts w:ascii="Arial" w:hAnsi="Arial" w:cs="Arial"/>
          <w:sz w:val="20"/>
          <w:szCs w:val="20"/>
        </w:rPr>
        <w:t xml:space="preserve"> Generally, an opposition/observation may be filed on the following grounds:</w:t>
      </w:r>
    </w:p>
    <w:p w14:paraId="4E04524B" w14:textId="77777777" w:rsidR="007C3C77" w:rsidRDefault="007C3C77" w:rsidP="007C3C77">
      <w:pPr>
        <w:spacing w:after="0" w:line="240" w:lineRule="auto"/>
        <w:jc w:val="both"/>
        <w:rPr>
          <w:rFonts w:ascii="Arial" w:hAnsi="Arial" w:cs="Arial"/>
          <w:sz w:val="20"/>
          <w:szCs w:val="20"/>
        </w:rPr>
      </w:pPr>
      <w:bookmarkStart w:id="0" w:name="_GoBack"/>
      <w:bookmarkEnd w:id="0"/>
    </w:p>
    <w:p w14:paraId="16D5DF24" w14:textId="77777777" w:rsidR="007C3C77" w:rsidRPr="00B86B20" w:rsidRDefault="007C3C77" w:rsidP="007C3C77">
      <w:pPr>
        <w:pStyle w:val="ListParagraph"/>
        <w:numPr>
          <w:ilvl w:val="0"/>
          <w:numId w:val="9"/>
        </w:numPr>
        <w:spacing w:after="0" w:line="240" w:lineRule="auto"/>
        <w:ind w:left="450" w:hanging="450"/>
        <w:rPr>
          <w:rFonts w:ascii="Arial" w:eastAsia="Times New Roman" w:hAnsi="Arial" w:cs="Arial"/>
          <w:color w:val="000000"/>
          <w:sz w:val="20"/>
          <w:szCs w:val="20"/>
        </w:rPr>
      </w:pPr>
      <w:r w:rsidRPr="00B86B20">
        <w:rPr>
          <w:rFonts w:ascii="Arial" w:eastAsia="Times New Roman" w:hAnsi="Arial" w:cs="Arial"/>
          <w:b/>
          <w:bCs/>
          <w:color w:val="000000"/>
          <w:sz w:val="20"/>
          <w:szCs w:val="20"/>
        </w:rPr>
        <w:t>Descriptiveness</w:t>
      </w:r>
      <w:r w:rsidRPr="00B86B20">
        <w:rPr>
          <w:rFonts w:ascii="Arial" w:eastAsia="Times New Roman" w:hAnsi="Arial" w:cs="Arial"/>
          <w:color w:val="000000"/>
          <w:sz w:val="20"/>
          <w:szCs w:val="20"/>
        </w:rPr>
        <w:t>: i.e., a</w:t>
      </w:r>
      <w:r>
        <w:rPr>
          <w:rFonts w:ascii="Arial" w:eastAsia="Times New Roman" w:hAnsi="Arial" w:cs="Arial"/>
          <w:color w:val="000000"/>
          <w:sz w:val="20"/>
          <w:szCs w:val="20"/>
        </w:rPr>
        <w:t xml:space="preserve">n application </w:t>
      </w:r>
      <w:r w:rsidRPr="00B86B20">
        <w:rPr>
          <w:rFonts w:ascii="Arial" w:eastAsia="Times New Roman" w:hAnsi="Arial" w:cs="Arial"/>
          <w:color w:val="000000"/>
          <w:sz w:val="20"/>
          <w:szCs w:val="20"/>
        </w:rPr>
        <w:t xml:space="preserve">trademark functions solely to provide information about the goods and services affiliated </w:t>
      </w:r>
      <w:r>
        <w:rPr>
          <w:rFonts w:ascii="Arial" w:eastAsia="Times New Roman" w:hAnsi="Arial" w:cs="Arial"/>
          <w:color w:val="000000"/>
          <w:sz w:val="20"/>
          <w:szCs w:val="20"/>
        </w:rPr>
        <w:t>there</w:t>
      </w:r>
      <w:r w:rsidRPr="00B86B20">
        <w:rPr>
          <w:rFonts w:ascii="Arial" w:eastAsia="Times New Roman" w:hAnsi="Arial" w:cs="Arial"/>
          <w:color w:val="000000"/>
          <w:sz w:val="20"/>
          <w:szCs w:val="20"/>
        </w:rPr>
        <w:t>with the trademark;</w:t>
      </w:r>
    </w:p>
    <w:p w14:paraId="25DE1E07" w14:textId="77777777" w:rsidR="007C3C77" w:rsidRPr="00B86B20" w:rsidRDefault="007C3C77" w:rsidP="007C3C77">
      <w:pPr>
        <w:pStyle w:val="ListParagraph"/>
        <w:numPr>
          <w:ilvl w:val="0"/>
          <w:numId w:val="9"/>
        </w:numPr>
        <w:spacing w:after="0" w:line="240" w:lineRule="auto"/>
        <w:ind w:left="450" w:hanging="450"/>
        <w:rPr>
          <w:rFonts w:ascii="Arial" w:eastAsia="Times New Roman" w:hAnsi="Arial" w:cs="Arial"/>
          <w:color w:val="000000"/>
          <w:sz w:val="20"/>
          <w:szCs w:val="20"/>
        </w:rPr>
      </w:pPr>
      <w:r w:rsidRPr="00B86B20">
        <w:rPr>
          <w:rFonts w:ascii="Arial" w:eastAsia="Times New Roman" w:hAnsi="Arial" w:cs="Arial"/>
          <w:b/>
          <w:bCs/>
          <w:color w:val="000000"/>
          <w:sz w:val="20"/>
          <w:szCs w:val="20"/>
        </w:rPr>
        <w:t>Distinctiveness</w:t>
      </w:r>
      <w:r w:rsidRPr="00B86B20">
        <w:rPr>
          <w:rFonts w:ascii="Arial" w:eastAsia="Times New Roman" w:hAnsi="Arial" w:cs="Arial"/>
          <w:color w:val="000000"/>
          <w:sz w:val="20"/>
          <w:szCs w:val="20"/>
        </w:rPr>
        <w:t xml:space="preserve">: i.e., </w:t>
      </w:r>
      <w:r>
        <w:rPr>
          <w:rFonts w:ascii="Arial" w:eastAsia="Times New Roman" w:hAnsi="Arial" w:cs="Arial"/>
          <w:color w:val="000000"/>
          <w:sz w:val="20"/>
          <w:szCs w:val="20"/>
        </w:rPr>
        <w:t xml:space="preserve">an application trademark is not </w:t>
      </w:r>
      <w:r w:rsidRPr="00B86B20">
        <w:rPr>
          <w:rFonts w:ascii="Arial" w:eastAsia="Times New Roman" w:hAnsi="Arial" w:cs="Arial"/>
          <w:color w:val="000000"/>
          <w:sz w:val="20"/>
          <w:szCs w:val="20"/>
        </w:rPr>
        <w:t>capable of being represented graphically and of distinguishing the goods</w:t>
      </w:r>
      <w:r>
        <w:rPr>
          <w:rFonts w:ascii="Arial" w:eastAsia="Times New Roman" w:hAnsi="Arial" w:cs="Arial"/>
          <w:color w:val="000000"/>
          <w:sz w:val="20"/>
          <w:szCs w:val="20"/>
        </w:rPr>
        <w:t>/</w:t>
      </w:r>
      <w:r w:rsidRPr="00B86B20">
        <w:rPr>
          <w:rFonts w:ascii="Arial" w:eastAsia="Times New Roman" w:hAnsi="Arial" w:cs="Arial"/>
          <w:color w:val="000000"/>
          <w:sz w:val="20"/>
          <w:szCs w:val="20"/>
        </w:rPr>
        <w:t>services of one individual or organization from those of other individuals or organizations;</w:t>
      </w:r>
    </w:p>
    <w:p w14:paraId="5532C3FD" w14:textId="77777777" w:rsidR="007C3C77" w:rsidRPr="00B86B20" w:rsidRDefault="007C3C77" w:rsidP="007C3C77">
      <w:pPr>
        <w:pStyle w:val="ListParagraph"/>
        <w:numPr>
          <w:ilvl w:val="0"/>
          <w:numId w:val="9"/>
        </w:numPr>
        <w:spacing w:after="0" w:line="240" w:lineRule="auto"/>
        <w:ind w:left="450" w:hanging="450"/>
        <w:rPr>
          <w:rFonts w:ascii="Arial" w:eastAsia="Times New Roman" w:hAnsi="Arial" w:cs="Arial"/>
          <w:color w:val="000000"/>
          <w:sz w:val="20"/>
          <w:szCs w:val="20"/>
        </w:rPr>
      </w:pPr>
      <w:r w:rsidRPr="00B86B20">
        <w:rPr>
          <w:rFonts w:ascii="Arial" w:eastAsia="Times New Roman" w:hAnsi="Arial" w:cs="Arial"/>
          <w:b/>
          <w:bCs/>
          <w:color w:val="000000"/>
          <w:sz w:val="20"/>
          <w:szCs w:val="20"/>
        </w:rPr>
        <w:t>Deceptiveness</w:t>
      </w:r>
      <w:r w:rsidRPr="00B86B20">
        <w:rPr>
          <w:rFonts w:ascii="Arial" w:eastAsia="Times New Roman" w:hAnsi="Arial" w:cs="Arial"/>
          <w:color w:val="000000"/>
          <w:sz w:val="20"/>
          <w:szCs w:val="20"/>
        </w:rPr>
        <w:t xml:space="preserve">: i.e., </w:t>
      </w:r>
      <w:r>
        <w:rPr>
          <w:rFonts w:ascii="Arial" w:eastAsia="Times New Roman" w:hAnsi="Arial" w:cs="Arial"/>
          <w:color w:val="000000"/>
          <w:sz w:val="20"/>
          <w:szCs w:val="20"/>
        </w:rPr>
        <w:t>an application</w:t>
      </w:r>
      <w:r w:rsidRPr="00B86B20">
        <w:rPr>
          <w:rFonts w:ascii="Arial" w:eastAsia="Times New Roman" w:hAnsi="Arial" w:cs="Arial"/>
          <w:color w:val="000000"/>
          <w:sz w:val="20"/>
          <w:szCs w:val="20"/>
        </w:rPr>
        <w:t xml:space="preserve"> trademark is of such a nature as to deceive the public (for instance, as to the nature, quality or geographic origin of the goods or services);</w:t>
      </w:r>
    </w:p>
    <w:p w14:paraId="1795ABC3" w14:textId="77777777" w:rsidR="007C3C77" w:rsidRPr="00B86B20" w:rsidRDefault="007C3C77" w:rsidP="007C3C77">
      <w:pPr>
        <w:pStyle w:val="ListParagraph"/>
        <w:numPr>
          <w:ilvl w:val="0"/>
          <w:numId w:val="9"/>
        </w:numPr>
        <w:spacing w:after="0" w:line="240" w:lineRule="auto"/>
        <w:ind w:left="450" w:hanging="450"/>
        <w:rPr>
          <w:rFonts w:ascii="Arial" w:eastAsia="Times New Roman" w:hAnsi="Arial" w:cs="Arial"/>
          <w:color w:val="000000"/>
          <w:sz w:val="20"/>
          <w:szCs w:val="20"/>
        </w:rPr>
      </w:pPr>
      <w:r w:rsidRPr="00B86B20">
        <w:rPr>
          <w:rFonts w:ascii="Arial" w:eastAsia="Times New Roman" w:hAnsi="Arial" w:cs="Arial"/>
          <w:b/>
          <w:bCs/>
          <w:color w:val="000000"/>
          <w:sz w:val="20"/>
          <w:szCs w:val="20"/>
        </w:rPr>
        <w:t xml:space="preserve">Conflict </w:t>
      </w:r>
      <w:r w:rsidRPr="00B86B20">
        <w:rPr>
          <w:rFonts w:ascii="Arial" w:eastAsia="Times New Roman" w:hAnsi="Arial" w:cs="Arial"/>
          <w:color w:val="000000"/>
          <w:sz w:val="20"/>
          <w:szCs w:val="20"/>
        </w:rPr>
        <w:t>with prior registration</w:t>
      </w:r>
      <w:r>
        <w:rPr>
          <w:rFonts w:ascii="Arial" w:eastAsia="Times New Roman" w:hAnsi="Arial" w:cs="Arial"/>
          <w:color w:val="000000"/>
          <w:sz w:val="20"/>
          <w:szCs w:val="20"/>
        </w:rPr>
        <w:t xml:space="preserve"> and/or prior right established through use.</w:t>
      </w:r>
    </w:p>
    <w:p w14:paraId="63EB0C10" w14:textId="77777777" w:rsidR="007C3C77" w:rsidRDefault="007C3C77" w:rsidP="007C3C77">
      <w:pPr>
        <w:spacing w:after="0" w:line="240" w:lineRule="auto"/>
        <w:jc w:val="both"/>
        <w:rPr>
          <w:rFonts w:ascii="Arial" w:hAnsi="Arial" w:cs="Arial"/>
          <w:sz w:val="20"/>
          <w:szCs w:val="20"/>
        </w:rPr>
      </w:pPr>
    </w:p>
    <w:p w14:paraId="4B3AB2CE" w14:textId="77777777" w:rsidR="007C3C77" w:rsidRDefault="007C3C77" w:rsidP="007C3C77">
      <w:pPr>
        <w:spacing w:after="0" w:line="240" w:lineRule="auto"/>
        <w:jc w:val="both"/>
        <w:rPr>
          <w:rFonts w:ascii="Arial" w:hAnsi="Arial" w:cs="Arial"/>
          <w:sz w:val="20"/>
          <w:szCs w:val="20"/>
        </w:rPr>
      </w:pPr>
      <w:r>
        <w:rPr>
          <w:rFonts w:ascii="Arial" w:hAnsi="Arial" w:cs="Arial"/>
          <w:sz w:val="20"/>
          <w:szCs w:val="20"/>
        </w:rPr>
        <w:t>See our articles titled:</w:t>
      </w:r>
    </w:p>
    <w:p w14:paraId="25EA5F61" w14:textId="77777777" w:rsidR="007C3C77" w:rsidRDefault="007C3C77" w:rsidP="007C3C77">
      <w:pPr>
        <w:spacing w:after="0" w:line="240" w:lineRule="auto"/>
        <w:jc w:val="both"/>
        <w:rPr>
          <w:rFonts w:ascii="Arial" w:hAnsi="Arial" w:cs="Arial"/>
          <w:sz w:val="20"/>
          <w:szCs w:val="20"/>
        </w:rPr>
      </w:pPr>
      <w:r>
        <w:rPr>
          <w:rFonts w:ascii="Arial" w:hAnsi="Arial" w:cs="Arial"/>
          <w:sz w:val="20"/>
          <w:szCs w:val="20"/>
        </w:rPr>
        <w:t xml:space="preserve"> </w:t>
      </w:r>
    </w:p>
    <w:p w14:paraId="2B59DE36" w14:textId="77777777" w:rsidR="007C3C77" w:rsidRPr="00C30E1F" w:rsidRDefault="007C3C77" w:rsidP="007C3C77">
      <w:pPr>
        <w:pStyle w:val="ListParagraph"/>
        <w:numPr>
          <w:ilvl w:val="0"/>
          <w:numId w:val="10"/>
        </w:numPr>
        <w:spacing w:after="0" w:line="240" w:lineRule="auto"/>
        <w:ind w:left="450" w:hanging="450"/>
        <w:jc w:val="both"/>
        <w:rPr>
          <w:rFonts w:ascii="Arial" w:hAnsi="Arial" w:cs="Arial"/>
          <w:sz w:val="20"/>
          <w:szCs w:val="20"/>
        </w:rPr>
      </w:pPr>
      <w:r w:rsidRPr="00C30E1F">
        <w:rPr>
          <w:rFonts w:ascii="Arial" w:hAnsi="Arial" w:cs="Arial"/>
          <w:sz w:val="20"/>
          <w:szCs w:val="20"/>
        </w:rPr>
        <w:t>“</w:t>
      </w:r>
      <w:r w:rsidRPr="00C30E1F">
        <w:rPr>
          <w:rFonts w:ascii="Arial" w:hAnsi="Arial" w:cs="Arial"/>
          <w:b/>
          <w:bCs/>
          <w:sz w:val="20"/>
          <w:szCs w:val="20"/>
        </w:rPr>
        <w:t>Trademark Oppositions in Vietnam</w:t>
      </w:r>
      <w:r w:rsidRPr="00C30E1F">
        <w:rPr>
          <w:rFonts w:ascii="Arial" w:hAnsi="Arial" w:cs="Arial"/>
          <w:sz w:val="20"/>
          <w:szCs w:val="20"/>
        </w:rPr>
        <w:t xml:space="preserve">” at: </w:t>
      </w:r>
      <w:hyperlink r:id="rId7" w:history="1">
        <w:r w:rsidRPr="00C30E1F">
          <w:rPr>
            <w:rStyle w:val="Hyperlink"/>
            <w:rFonts w:ascii="Arial" w:hAnsi="Arial" w:cs="Arial"/>
            <w:sz w:val="20"/>
            <w:szCs w:val="20"/>
          </w:rPr>
          <w:t>https://kenfoxlaw.com/ip-practice-in-vietnam/trademark-oppositions-in-vietnam</w:t>
        </w:r>
      </w:hyperlink>
    </w:p>
    <w:p w14:paraId="31AE8C85" w14:textId="77777777" w:rsidR="007C3C77" w:rsidRPr="00C30E1F" w:rsidRDefault="007C3C77" w:rsidP="007C3C77">
      <w:pPr>
        <w:pStyle w:val="ListParagraph"/>
        <w:numPr>
          <w:ilvl w:val="0"/>
          <w:numId w:val="10"/>
        </w:numPr>
        <w:spacing w:after="0" w:line="240" w:lineRule="auto"/>
        <w:ind w:left="450" w:hanging="450"/>
        <w:jc w:val="both"/>
        <w:rPr>
          <w:rFonts w:ascii="Arial" w:hAnsi="Arial" w:cs="Arial"/>
          <w:sz w:val="20"/>
          <w:szCs w:val="20"/>
        </w:rPr>
      </w:pPr>
      <w:r w:rsidRPr="00C30E1F">
        <w:rPr>
          <w:rFonts w:ascii="Arial" w:hAnsi="Arial" w:cs="Arial"/>
          <w:sz w:val="20"/>
          <w:szCs w:val="20"/>
        </w:rPr>
        <w:t>“</w:t>
      </w:r>
      <w:r w:rsidRPr="00C30E1F">
        <w:rPr>
          <w:rFonts w:ascii="Arial" w:hAnsi="Arial" w:cs="Arial"/>
          <w:b/>
          <w:bCs/>
          <w:sz w:val="20"/>
          <w:szCs w:val="20"/>
        </w:rPr>
        <w:t>Questions on trademark oppositions in Vietnam</w:t>
      </w:r>
      <w:r w:rsidRPr="00C30E1F">
        <w:rPr>
          <w:rFonts w:ascii="Arial" w:hAnsi="Arial" w:cs="Arial"/>
          <w:sz w:val="20"/>
          <w:szCs w:val="20"/>
        </w:rPr>
        <w:t xml:space="preserve">” at: </w:t>
      </w:r>
      <w:hyperlink r:id="rId8" w:history="1">
        <w:r w:rsidRPr="00C30E1F">
          <w:rPr>
            <w:rStyle w:val="Hyperlink"/>
            <w:rFonts w:ascii="Arial" w:hAnsi="Arial" w:cs="Arial"/>
            <w:sz w:val="20"/>
            <w:szCs w:val="20"/>
          </w:rPr>
          <w:t>https://kenfoxlaw.com/questions-on-trademark-opposition-in-vietnam</w:t>
        </w:r>
      </w:hyperlink>
    </w:p>
    <w:p w14:paraId="10518810" w14:textId="77777777" w:rsidR="007C3C77" w:rsidRPr="00C30E1F" w:rsidRDefault="007C3C77" w:rsidP="007C3C77">
      <w:pPr>
        <w:pStyle w:val="ListParagraph"/>
        <w:numPr>
          <w:ilvl w:val="0"/>
          <w:numId w:val="10"/>
        </w:numPr>
        <w:spacing w:after="0" w:line="240" w:lineRule="auto"/>
        <w:ind w:left="450" w:hanging="450"/>
        <w:jc w:val="both"/>
        <w:rPr>
          <w:rFonts w:ascii="Arial" w:hAnsi="Arial" w:cs="Arial"/>
          <w:sz w:val="20"/>
          <w:szCs w:val="20"/>
        </w:rPr>
      </w:pPr>
      <w:r w:rsidRPr="00C30E1F">
        <w:rPr>
          <w:rFonts w:ascii="Arial" w:hAnsi="Arial" w:cs="Arial"/>
          <w:sz w:val="20"/>
          <w:szCs w:val="20"/>
        </w:rPr>
        <w:t>“</w:t>
      </w:r>
      <w:r w:rsidRPr="00C30E1F">
        <w:rPr>
          <w:rFonts w:ascii="Arial" w:hAnsi="Arial" w:cs="Arial"/>
          <w:b/>
          <w:bCs/>
          <w:sz w:val="20"/>
          <w:szCs w:val="20"/>
        </w:rPr>
        <w:t>Opposing an Application Mark without prior rights in Vietnam, is it possible?</w:t>
      </w:r>
      <w:r w:rsidRPr="00C30E1F">
        <w:rPr>
          <w:rFonts w:ascii="Arial" w:hAnsi="Arial" w:cs="Arial"/>
          <w:sz w:val="20"/>
          <w:szCs w:val="20"/>
        </w:rPr>
        <w:t xml:space="preserve">” at </w:t>
      </w:r>
      <w:hyperlink r:id="rId9" w:history="1">
        <w:r w:rsidRPr="00C30E1F">
          <w:rPr>
            <w:rStyle w:val="Hyperlink"/>
            <w:rFonts w:ascii="Arial" w:hAnsi="Arial" w:cs="Arial"/>
            <w:sz w:val="20"/>
            <w:szCs w:val="20"/>
          </w:rPr>
          <w:t>https://kenfoxlaw.com/opposing-an-application-mark-without-prior-rights-in-vietnam-is-it-possible</w:t>
        </w:r>
      </w:hyperlink>
      <w:r w:rsidRPr="00C30E1F">
        <w:rPr>
          <w:rFonts w:ascii="Arial" w:hAnsi="Arial" w:cs="Arial"/>
          <w:sz w:val="20"/>
          <w:szCs w:val="20"/>
        </w:rPr>
        <w:t xml:space="preserve"> </w:t>
      </w:r>
    </w:p>
    <w:p w14:paraId="22DD74B4" w14:textId="77777777" w:rsidR="007C3C77" w:rsidRPr="00C30E1F" w:rsidRDefault="007C3C77" w:rsidP="007C3C77">
      <w:pPr>
        <w:pStyle w:val="ListParagraph"/>
        <w:numPr>
          <w:ilvl w:val="0"/>
          <w:numId w:val="10"/>
        </w:numPr>
        <w:spacing w:after="0" w:line="240" w:lineRule="auto"/>
        <w:ind w:left="450" w:hanging="450"/>
        <w:jc w:val="both"/>
        <w:rPr>
          <w:rFonts w:ascii="Arial" w:hAnsi="Arial" w:cs="Arial"/>
          <w:sz w:val="20"/>
          <w:szCs w:val="20"/>
        </w:rPr>
      </w:pPr>
      <w:r w:rsidRPr="00C30E1F">
        <w:rPr>
          <w:rFonts w:ascii="Arial" w:hAnsi="Arial" w:cs="Arial"/>
          <w:sz w:val="20"/>
          <w:szCs w:val="20"/>
        </w:rPr>
        <w:t>“</w:t>
      </w:r>
      <w:r w:rsidRPr="00C30E1F">
        <w:rPr>
          <w:rFonts w:ascii="Arial" w:hAnsi="Arial" w:cs="Arial"/>
          <w:b/>
          <w:bCs/>
          <w:sz w:val="20"/>
          <w:szCs w:val="20"/>
        </w:rPr>
        <w:t>What strategies to reclaim unregistered trademark rights in Vietnam?</w:t>
      </w:r>
      <w:r w:rsidRPr="00C30E1F">
        <w:rPr>
          <w:rFonts w:ascii="Arial" w:hAnsi="Arial" w:cs="Arial"/>
          <w:sz w:val="20"/>
          <w:szCs w:val="20"/>
        </w:rPr>
        <w:t xml:space="preserve">” at </w:t>
      </w:r>
      <w:hyperlink r:id="rId10" w:history="1">
        <w:r w:rsidRPr="00C30E1F">
          <w:rPr>
            <w:rStyle w:val="Hyperlink"/>
            <w:rFonts w:ascii="Arial" w:hAnsi="Arial" w:cs="Arial"/>
            <w:sz w:val="20"/>
            <w:szCs w:val="20"/>
          </w:rPr>
          <w:t>https://kenfoxlaw.com/what-strategies-to-reclaim-unregistered-trademark-rights-in-vietnam</w:t>
        </w:r>
      </w:hyperlink>
      <w:r w:rsidRPr="00C30E1F">
        <w:rPr>
          <w:rFonts w:ascii="Arial" w:hAnsi="Arial" w:cs="Arial"/>
          <w:sz w:val="20"/>
          <w:szCs w:val="20"/>
        </w:rPr>
        <w:t xml:space="preserve"> </w:t>
      </w:r>
    </w:p>
    <w:p w14:paraId="24D2DB49" w14:textId="77777777" w:rsidR="007C3C77" w:rsidRDefault="007C3C77" w:rsidP="007C3C77">
      <w:pPr>
        <w:spacing w:after="0" w:line="240" w:lineRule="auto"/>
        <w:jc w:val="both"/>
        <w:rPr>
          <w:rFonts w:ascii="Arial" w:hAnsi="Arial" w:cs="Arial"/>
          <w:sz w:val="20"/>
          <w:szCs w:val="20"/>
        </w:rPr>
      </w:pPr>
    </w:p>
    <w:p w14:paraId="48333458" w14:textId="77777777" w:rsidR="007C3C77" w:rsidRDefault="007C3C77" w:rsidP="007C3C77">
      <w:pPr>
        <w:spacing w:after="0" w:line="240" w:lineRule="auto"/>
        <w:jc w:val="both"/>
        <w:rPr>
          <w:rFonts w:ascii="Arial" w:hAnsi="Arial" w:cs="Arial"/>
          <w:sz w:val="20"/>
          <w:szCs w:val="20"/>
        </w:rPr>
      </w:pPr>
    </w:p>
    <w:p w14:paraId="6F6BEFFA" w14:textId="77777777" w:rsidR="007C3C77" w:rsidRPr="00FE64D3" w:rsidRDefault="007C3C77" w:rsidP="007C3C77">
      <w:pPr>
        <w:spacing w:after="0" w:line="240" w:lineRule="auto"/>
        <w:jc w:val="both"/>
        <w:rPr>
          <w:rFonts w:ascii="Arial" w:hAnsi="Arial" w:cs="Arial"/>
          <w:b/>
          <w:bCs/>
          <w:sz w:val="20"/>
          <w:szCs w:val="20"/>
        </w:rPr>
      </w:pPr>
      <w:r>
        <w:rPr>
          <w:rFonts w:ascii="Arial" w:hAnsi="Arial" w:cs="Arial"/>
          <w:b/>
          <w:bCs/>
          <w:sz w:val="20"/>
          <w:szCs w:val="20"/>
        </w:rPr>
        <w:t xml:space="preserve">The bottom </w:t>
      </w:r>
      <w:proofErr w:type="gramStart"/>
      <w:r>
        <w:rPr>
          <w:rFonts w:ascii="Arial" w:hAnsi="Arial" w:cs="Arial"/>
          <w:b/>
          <w:bCs/>
          <w:sz w:val="20"/>
          <w:szCs w:val="20"/>
        </w:rPr>
        <w:t>line</w:t>
      </w:r>
      <w:proofErr w:type="gramEnd"/>
    </w:p>
    <w:p w14:paraId="1AE24C20" w14:textId="77777777" w:rsidR="007C3C77" w:rsidRDefault="007C3C77" w:rsidP="007C3C77">
      <w:pPr>
        <w:spacing w:after="0" w:line="240" w:lineRule="auto"/>
        <w:jc w:val="both"/>
        <w:rPr>
          <w:rFonts w:ascii="Arial" w:hAnsi="Arial" w:cs="Arial"/>
          <w:sz w:val="20"/>
          <w:szCs w:val="20"/>
        </w:rPr>
      </w:pPr>
    </w:p>
    <w:p w14:paraId="768F164D" w14:textId="77777777" w:rsidR="007C3C77" w:rsidRDefault="007C3C77" w:rsidP="007C3C77">
      <w:pPr>
        <w:spacing w:after="0" w:line="240" w:lineRule="auto"/>
        <w:jc w:val="both"/>
        <w:rPr>
          <w:rFonts w:ascii="Arial" w:hAnsi="Arial" w:cs="Arial"/>
          <w:sz w:val="20"/>
          <w:szCs w:val="20"/>
        </w:rPr>
      </w:pPr>
      <w:r>
        <w:rPr>
          <w:rFonts w:ascii="Arial" w:hAnsi="Arial" w:cs="Arial"/>
          <w:sz w:val="20"/>
          <w:szCs w:val="20"/>
        </w:rPr>
        <w:t xml:space="preserve">If the deadline for filing an opposition has missed, the door has not shut down. You may still have chance to file observation with IP VIETNAM </w:t>
      </w:r>
      <w:r w:rsidRPr="00FE64D3">
        <w:rPr>
          <w:rFonts w:ascii="Arial" w:hAnsi="Arial" w:cs="Arial"/>
          <w:sz w:val="20"/>
          <w:szCs w:val="20"/>
        </w:rPr>
        <w:t xml:space="preserve">voicing </w:t>
      </w:r>
      <w:r>
        <w:rPr>
          <w:rFonts w:ascii="Arial" w:hAnsi="Arial" w:cs="Arial"/>
          <w:sz w:val="20"/>
          <w:szCs w:val="20"/>
        </w:rPr>
        <w:t>your</w:t>
      </w:r>
      <w:r w:rsidRPr="00FE64D3">
        <w:rPr>
          <w:rFonts w:ascii="Arial" w:hAnsi="Arial" w:cs="Arial"/>
          <w:sz w:val="20"/>
          <w:szCs w:val="20"/>
        </w:rPr>
        <w:t xml:space="preserve"> opinions on pending trademark applications</w:t>
      </w:r>
      <w:r>
        <w:rPr>
          <w:rFonts w:ascii="Arial" w:hAnsi="Arial" w:cs="Arial"/>
          <w:sz w:val="20"/>
          <w:szCs w:val="20"/>
        </w:rPr>
        <w:t xml:space="preserve"> under observation procedure. Even if the observation you have made is not used to bar an application from maturing into registration, an </w:t>
      </w:r>
      <w:hyperlink r:id="rId11" w:history="1">
        <w:r w:rsidRPr="00783212">
          <w:rPr>
            <w:rStyle w:val="Hyperlink"/>
            <w:rFonts w:ascii="Arial" w:hAnsi="Arial" w:cs="Arial"/>
            <w:sz w:val="20"/>
            <w:szCs w:val="20"/>
          </w:rPr>
          <w:t>invalidation</w:t>
        </w:r>
      </w:hyperlink>
      <w:r>
        <w:rPr>
          <w:rFonts w:ascii="Arial" w:hAnsi="Arial" w:cs="Arial"/>
          <w:sz w:val="20"/>
          <w:szCs w:val="20"/>
        </w:rPr>
        <w:t xml:space="preserve"> action is still available against the third party’s trademark.</w:t>
      </w:r>
    </w:p>
    <w:p w14:paraId="6A578E64" w14:textId="77777777" w:rsidR="007C3C77" w:rsidRDefault="007C3C77" w:rsidP="007C3C77">
      <w:pPr>
        <w:spacing w:after="0" w:line="240" w:lineRule="auto"/>
        <w:jc w:val="both"/>
        <w:rPr>
          <w:rFonts w:ascii="Arial" w:hAnsi="Arial" w:cs="Arial"/>
          <w:sz w:val="20"/>
          <w:szCs w:val="20"/>
        </w:rPr>
      </w:pPr>
    </w:p>
    <w:p w14:paraId="3BFE8D70" w14:textId="77777777" w:rsidR="007C3C77" w:rsidRDefault="007C3C77" w:rsidP="007C3C77">
      <w:pPr>
        <w:spacing w:after="0" w:line="240" w:lineRule="auto"/>
        <w:jc w:val="both"/>
        <w:rPr>
          <w:rFonts w:ascii="Arial" w:hAnsi="Arial" w:cs="Arial"/>
          <w:sz w:val="20"/>
          <w:szCs w:val="20"/>
        </w:rPr>
      </w:pPr>
    </w:p>
    <w:p w14:paraId="2F84C5E0" w14:textId="77777777" w:rsidR="007C3C77" w:rsidRDefault="007C3C77" w:rsidP="007C3C77">
      <w:pPr>
        <w:spacing w:after="0" w:line="240" w:lineRule="auto"/>
        <w:jc w:val="both"/>
        <w:rPr>
          <w:rFonts w:ascii="Arial" w:hAnsi="Arial" w:cs="Arial"/>
          <w:sz w:val="20"/>
          <w:szCs w:val="20"/>
        </w:rPr>
      </w:pPr>
    </w:p>
    <w:p w14:paraId="13A7E118" w14:textId="77777777" w:rsidR="007C3C77" w:rsidRDefault="007C3C77" w:rsidP="007C3C77">
      <w:pPr>
        <w:spacing w:after="0" w:line="240" w:lineRule="auto"/>
        <w:jc w:val="both"/>
        <w:rPr>
          <w:rFonts w:ascii="Arial" w:hAnsi="Arial" w:cs="Arial"/>
          <w:sz w:val="20"/>
          <w:szCs w:val="20"/>
        </w:rPr>
      </w:pPr>
    </w:p>
    <w:p w14:paraId="2A730A78" w14:textId="77777777" w:rsidR="007C3C77" w:rsidRDefault="007C3C77" w:rsidP="007C3C77">
      <w:pPr>
        <w:spacing w:after="0" w:line="240" w:lineRule="auto"/>
        <w:jc w:val="both"/>
        <w:rPr>
          <w:rFonts w:ascii="Arial" w:hAnsi="Arial" w:cs="Arial"/>
          <w:sz w:val="20"/>
          <w:szCs w:val="20"/>
        </w:rPr>
      </w:pPr>
    </w:p>
    <w:p w14:paraId="1A6572A4" w14:textId="77777777" w:rsidR="007C3C77" w:rsidRDefault="007C3C77" w:rsidP="007C3C77">
      <w:pPr>
        <w:spacing w:after="0" w:line="240" w:lineRule="auto"/>
        <w:jc w:val="both"/>
        <w:rPr>
          <w:rFonts w:ascii="Arial" w:hAnsi="Arial" w:cs="Arial"/>
          <w:sz w:val="20"/>
          <w:szCs w:val="20"/>
        </w:rPr>
      </w:pPr>
    </w:p>
    <w:p w14:paraId="40EBB746" w14:textId="77777777" w:rsidR="007C3C77" w:rsidRPr="00B86B20" w:rsidRDefault="007C3C77" w:rsidP="007C3C77">
      <w:pPr>
        <w:spacing w:after="0" w:line="240" w:lineRule="auto"/>
        <w:jc w:val="both"/>
        <w:rPr>
          <w:rFonts w:ascii="Arial" w:hAnsi="Arial" w:cs="Arial"/>
          <w:sz w:val="20"/>
          <w:szCs w:val="20"/>
        </w:rPr>
      </w:pPr>
    </w:p>
    <w:p w14:paraId="0298EAEB" w14:textId="77777777" w:rsidR="00E80EA9" w:rsidRPr="00CC45A7" w:rsidRDefault="00982570" w:rsidP="007C3C77">
      <w:pPr>
        <w:spacing w:before="100" w:beforeAutospacing="1" w:after="100" w:afterAutospacing="1" w:line="240" w:lineRule="auto"/>
        <w:jc w:val="center"/>
        <w:outlineLvl w:val="0"/>
      </w:pPr>
    </w:p>
    <w:sectPr w:rsidR="00E80EA9" w:rsidRPr="00CC45A7" w:rsidSect="0084231D">
      <w:footerReference w:type="default" r:id="rId12"/>
      <w:pgSz w:w="11907" w:h="16839" w:code="9"/>
      <w:pgMar w:top="1134" w:right="1134" w:bottom="1134" w:left="1134" w:header="720" w:footer="5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265008" w14:textId="77777777" w:rsidR="00982570" w:rsidRDefault="00982570" w:rsidP="0084231D">
      <w:pPr>
        <w:spacing w:after="0" w:line="240" w:lineRule="auto"/>
      </w:pPr>
      <w:r>
        <w:separator/>
      </w:r>
    </w:p>
  </w:endnote>
  <w:endnote w:type="continuationSeparator" w:id="0">
    <w:p w14:paraId="7D3E4E5E" w14:textId="77777777" w:rsidR="00982570" w:rsidRDefault="00982570" w:rsidP="00842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2656923"/>
      <w:docPartObj>
        <w:docPartGallery w:val="Page Numbers (Bottom of Page)"/>
        <w:docPartUnique/>
      </w:docPartObj>
    </w:sdtPr>
    <w:sdtEndPr>
      <w:rPr>
        <w:sz w:val="18"/>
        <w:szCs w:val="18"/>
      </w:rPr>
    </w:sdtEndPr>
    <w:sdtContent>
      <w:sdt>
        <w:sdtPr>
          <w:id w:val="98381352"/>
          <w:docPartObj>
            <w:docPartGallery w:val="Page Numbers (Top of Page)"/>
            <w:docPartUnique/>
          </w:docPartObj>
        </w:sdtPr>
        <w:sdtEndPr>
          <w:rPr>
            <w:sz w:val="18"/>
            <w:szCs w:val="18"/>
          </w:rPr>
        </w:sdtEndPr>
        <w:sdtContent>
          <w:p w14:paraId="3EAEB406" w14:textId="6E16378F" w:rsidR="0084231D" w:rsidRPr="00FF7ED4" w:rsidRDefault="00982570">
            <w:pPr>
              <w:pStyle w:val="Footer"/>
              <w:rPr>
                <w:sz w:val="18"/>
                <w:szCs w:val="18"/>
              </w:rPr>
            </w:pPr>
            <w:hyperlink r:id="rId1" w:history="1">
              <w:r w:rsidR="0084231D" w:rsidRPr="00FF7ED4">
                <w:rPr>
                  <w:rFonts w:ascii="Arial" w:hAnsi="Arial" w:cs="Arial"/>
                  <w:b/>
                  <w:noProof/>
                  <w:color w:val="2F5496" w:themeColor="accent1" w:themeShade="BF"/>
                  <w:sz w:val="18"/>
                  <w:szCs w:val="18"/>
                </w:rPr>
                <w:t>www.kenfoxlaw.com</w:t>
              </w:r>
            </w:hyperlink>
            <w:r w:rsidR="0084231D" w:rsidRPr="00FF7ED4">
              <w:rPr>
                <w:rFonts w:ascii="Arial" w:hAnsi="Arial" w:cs="Arial"/>
                <w:b/>
                <w:noProof/>
                <w:color w:val="2F5496" w:themeColor="accent1" w:themeShade="BF"/>
                <w:sz w:val="18"/>
                <w:szCs w:val="18"/>
              </w:rPr>
              <w:t xml:space="preserve">  </w:t>
            </w:r>
            <w:r w:rsidR="0084231D" w:rsidRPr="00FF7ED4">
              <w:rPr>
                <w:sz w:val="18"/>
                <w:szCs w:val="18"/>
              </w:rPr>
              <w:t xml:space="preserve">    </w:t>
            </w:r>
            <w:r w:rsidR="00FF7ED4" w:rsidRPr="00FF7ED4">
              <w:rPr>
                <w:sz w:val="18"/>
                <w:szCs w:val="18"/>
              </w:rPr>
              <w:t xml:space="preserve"> </w:t>
            </w:r>
            <w:r w:rsidR="0084231D" w:rsidRPr="00FF7ED4">
              <w:rPr>
                <w:sz w:val="18"/>
                <w:szCs w:val="18"/>
              </w:rPr>
              <w:t xml:space="preserve">                                                                                                                                 </w:t>
            </w:r>
            <w:r w:rsidR="00FF7ED4" w:rsidRPr="00FF7ED4">
              <w:rPr>
                <w:sz w:val="18"/>
                <w:szCs w:val="18"/>
              </w:rPr>
              <w:t xml:space="preserve">      </w:t>
            </w:r>
            <w:r w:rsidR="00FF7ED4">
              <w:rPr>
                <w:sz w:val="18"/>
                <w:szCs w:val="18"/>
              </w:rPr>
              <w:t xml:space="preserve">                          </w:t>
            </w:r>
            <w:r w:rsidR="0084231D" w:rsidRPr="00FF7ED4">
              <w:rPr>
                <w:sz w:val="18"/>
                <w:szCs w:val="18"/>
              </w:rPr>
              <w:t xml:space="preserve"> </w:t>
            </w:r>
            <w:r w:rsidR="0084231D" w:rsidRPr="00FF7ED4">
              <w:rPr>
                <w:rFonts w:ascii="Arial" w:hAnsi="Arial" w:cs="Arial"/>
                <w:b/>
                <w:sz w:val="18"/>
                <w:szCs w:val="18"/>
              </w:rPr>
              <w:t xml:space="preserve">Page </w:t>
            </w:r>
            <w:r w:rsidR="0084231D" w:rsidRPr="00FF7ED4">
              <w:rPr>
                <w:rFonts w:ascii="Arial" w:hAnsi="Arial" w:cs="Arial"/>
                <w:b/>
                <w:sz w:val="18"/>
                <w:szCs w:val="18"/>
              </w:rPr>
              <w:fldChar w:fldCharType="begin"/>
            </w:r>
            <w:r w:rsidR="0084231D" w:rsidRPr="00FF7ED4">
              <w:rPr>
                <w:rFonts w:ascii="Arial" w:hAnsi="Arial" w:cs="Arial"/>
                <w:b/>
                <w:sz w:val="18"/>
                <w:szCs w:val="18"/>
              </w:rPr>
              <w:instrText xml:space="preserve"> PAGE </w:instrText>
            </w:r>
            <w:r w:rsidR="0084231D" w:rsidRPr="00FF7ED4">
              <w:rPr>
                <w:rFonts w:ascii="Arial" w:hAnsi="Arial" w:cs="Arial"/>
                <w:b/>
                <w:sz w:val="18"/>
                <w:szCs w:val="18"/>
              </w:rPr>
              <w:fldChar w:fldCharType="separate"/>
            </w:r>
            <w:r w:rsidR="00564F23">
              <w:rPr>
                <w:rFonts w:ascii="Arial" w:hAnsi="Arial" w:cs="Arial"/>
                <w:b/>
                <w:noProof/>
                <w:sz w:val="18"/>
                <w:szCs w:val="18"/>
              </w:rPr>
              <w:t>4</w:t>
            </w:r>
            <w:r w:rsidR="0084231D" w:rsidRPr="00FF7ED4">
              <w:rPr>
                <w:rFonts w:ascii="Arial" w:hAnsi="Arial" w:cs="Arial"/>
                <w:b/>
                <w:sz w:val="18"/>
                <w:szCs w:val="18"/>
              </w:rPr>
              <w:fldChar w:fldCharType="end"/>
            </w:r>
            <w:r w:rsidR="0084231D" w:rsidRPr="00FF7ED4">
              <w:rPr>
                <w:rFonts w:ascii="Arial" w:hAnsi="Arial" w:cs="Arial"/>
                <w:b/>
                <w:sz w:val="18"/>
                <w:szCs w:val="18"/>
              </w:rPr>
              <w:t xml:space="preserve"> of </w:t>
            </w:r>
            <w:r w:rsidR="0084231D" w:rsidRPr="00FF7ED4">
              <w:rPr>
                <w:rFonts w:ascii="Arial" w:hAnsi="Arial" w:cs="Arial"/>
                <w:b/>
                <w:sz w:val="18"/>
                <w:szCs w:val="18"/>
              </w:rPr>
              <w:fldChar w:fldCharType="begin"/>
            </w:r>
            <w:r w:rsidR="0084231D" w:rsidRPr="00FF7ED4">
              <w:rPr>
                <w:rFonts w:ascii="Arial" w:hAnsi="Arial" w:cs="Arial"/>
                <w:b/>
                <w:sz w:val="18"/>
                <w:szCs w:val="18"/>
              </w:rPr>
              <w:instrText xml:space="preserve"> NUMPAGES  </w:instrText>
            </w:r>
            <w:r w:rsidR="0084231D" w:rsidRPr="00FF7ED4">
              <w:rPr>
                <w:rFonts w:ascii="Arial" w:hAnsi="Arial" w:cs="Arial"/>
                <w:b/>
                <w:sz w:val="18"/>
                <w:szCs w:val="18"/>
              </w:rPr>
              <w:fldChar w:fldCharType="separate"/>
            </w:r>
            <w:r w:rsidR="00564F23">
              <w:rPr>
                <w:rFonts w:ascii="Arial" w:hAnsi="Arial" w:cs="Arial"/>
                <w:b/>
                <w:noProof/>
                <w:sz w:val="18"/>
                <w:szCs w:val="18"/>
              </w:rPr>
              <w:t>4</w:t>
            </w:r>
            <w:r w:rsidR="0084231D" w:rsidRPr="00FF7ED4">
              <w:rPr>
                <w:rFonts w:ascii="Arial" w:hAnsi="Arial" w:cs="Arial"/>
                <w:b/>
                <w:sz w:val="18"/>
                <w:szCs w:val="18"/>
              </w:rPr>
              <w:fldChar w:fldCharType="end"/>
            </w:r>
          </w:p>
        </w:sdtContent>
      </w:sdt>
    </w:sdtContent>
  </w:sdt>
  <w:p w14:paraId="7226F245" w14:textId="77777777" w:rsidR="0084231D" w:rsidRDefault="008423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B1AFD9" w14:textId="77777777" w:rsidR="00982570" w:rsidRDefault="00982570" w:rsidP="0084231D">
      <w:pPr>
        <w:spacing w:after="0" w:line="240" w:lineRule="auto"/>
      </w:pPr>
      <w:r>
        <w:separator/>
      </w:r>
    </w:p>
  </w:footnote>
  <w:footnote w:type="continuationSeparator" w:id="0">
    <w:p w14:paraId="4047403A" w14:textId="77777777" w:rsidR="00982570" w:rsidRDefault="00982570" w:rsidP="008423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9F2EEE"/>
    <w:multiLevelType w:val="hybridMultilevel"/>
    <w:tmpl w:val="4ADAEE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870032"/>
    <w:multiLevelType w:val="hybridMultilevel"/>
    <w:tmpl w:val="407671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112B65"/>
    <w:multiLevelType w:val="hybridMultilevel"/>
    <w:tmpl w:val="37065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DA1B82"/>
    <w:multiLevelType w:val="hybridMultilevel"/>
    <w:tmpl w:val="268C3C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B21E77"/>
    <w:multiLevelType w:val="hybridMultilevel"/>
    <w:tmpl w:val="C17C6A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231A19"/>
    <w:multiLevelType w:val="hybridMultilevel"/>
    <w:tmpl w:val="D21892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4B785D"/>
    <w:multiLevelType w:val="hybridMultilevel"/>
    <w:tmpl w:val="DA28DAF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8C0C05"/>
    <w:multiLevelType w:val="multilevel"/>
    <w:tmpl w:val="B71AD1FE"/>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8DD3460"/>
    <w:multiLevelType w:val="hybridMultilevel"/>
    <w:tmpl w:val="28C8DC2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823080"/>
    <w:multiLevelType w:val="hybridMultilevel"/>
    <w:tmpl w:val="9C6ED1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1"/>
  </w:num>
  <w:num w:numId="4">
    <w:abstractNumId w:val="2"/>
  </w:num>
  <w:num w:numId="5">
    <w:abstractNumId w:val="7"/>
  </w:num>
  <w:num w:numId="6">
    <w:abstractNumId w:val="0"/>
  </w:num>
  <w:num w:numId="7">
    <w:abstractNumId w:val="3"/>
  </w:num>
  <w:num w:numId="8">
    <w:abstractNumId w:val="4"/>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951"/>
    <w:rsid w:val="00015CF3"/>
    <w:rsid w:val="002E1F66"/>
    <w:rsid w:val="00312D71"/>
    <w:rsid w:val="00370A22"/>
    <w:rsid w:val="004A6F5C"/>
    <w:rsid w:val="004B370D"/>
    <w:rsid w:val="00564F23"/>
    <w:rsid w:val="005B18E6"/>
    <w:rsid w:val="00615BD8"/>
    <w:rsid w:val="0062638A"/>
    <w:rsid w:val="00643775"/>
    <w:rsid w:val="006F7951"/>
    <w:rsid w:val="00715A8B"/>
    <w:rsid w:val="007B6698"/>
    <w:rsid w:val="007C3C77"/>
    <w:rsid w:val="007E182F"/>
    <w:rsid w:val="0084231D"/>
    <w:rsid w:val="008950FE"/>
    <w:rsid w:val="008C2C2F"/>
    <w:rsid w:val="008C3F8A"/>
    <w:rsid w:val="009455DD"/>
    <w:rsid w:val="00982570"/>
    <w:rsid w:val="00993A6E"/>
    <w:rsid w:val="00A14A38"/>
    <w:rsid w:val="00AC1D69"/>
    <w:rsid w:val="00B54069"/>
    <w:rsid w:val="00B94C0F"/>
    <w:rsid w:val="00BB4E0F"/>
    <w:rsid w:val="00C34C8A"/>
    <w:rsid w:val="00C36BC9"/>
    <w:rsid w:val="00C9104F"/>
    <w:rsid w:val="00CC45A7"/>
    <w:rsid w:val="00E30EB7"/>
    <w:rsid w:val="00E61A17"/>
    <w:rsid w:val="00E6401E"/>
    <w:rsid w:val="00E6699F"/>
    <w:rsid w:val="00F1775A"/>
    <w:rsid w:val="00F75A4E"/>
    <w:rsid w:val="00FF7ED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DDED9"/>
  <w15:docId w15:val="{78E1DFEB-CA06-4B7B-9958-191D49DCF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45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5BD8"/>
    <w:pPr>
      <w:ind w:left="720"/>
      <w:contextualSpacing/>
    </w:pPr>
  </w:style>
  <w:style w:type="table" w:styleId="TableGrid">
    <w:name w:val="Table Grid"/>
    <w:basedOn w:val="TableNormal"/>
    <w:uiPriority w:val="39"/>
    <w:rsid w:val="007B6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423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231D"/>
  </w:style>
  <w:style w:type="paragraph" w:styleId="Footer">
    <w:name w:val="footer"/>
    <w:basedOn w:val="Normal"/>
    <w:link w:val="FooterChar"/>
    <w:uiPriority w:val="99"/>
    <w:unhideWhenUsed/>
    <w:rsid w:val="008423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231D"/>
  </w:style>
  <w:style w:type="character" w:styleId="Hyperlink">
    <w:name w:val="Hyperlink"/>
    <w:basedOn w:val="DefaultParagraphFont"/>
    <w:uiPriority w:val="99"/>
    <w:unhideWhenUsed/>
    <w:rsid w:val="0084231D"/>
    <w:rPr>
      <w:color w:val="0563C1" w:themeColor="hyperlink"/>
      <w:u w:val="single"/>
    </w:rPr>
  </w:style>
  <w:style w:type="paragraph" w:styleId="NormalWeb">
    <w:name w:val="Normal (Web)"/>
    <w:basedOn w:val="Normal"/>
    <w:uiPriority w:val="99"/>
    <w:unhideWhenUsed/>
    <w:rsid w:val="00CC45A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09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nfoxlaw.com/questions-on-trademark-opposition-in-vietna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kenfoxlaw.com/ip-practice-in-vietnam/trademark-oppositions-in-vietna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enfoxlaw.com/ip-practice-in-vietnam/ip-practice-trademark-in-vietnam/trademark-cancellation-proceedings-invalidation-actions-in-vietnam" TargetMode="External"/><Relationship Id="rId5" Type="http://schemas.openxmlformats.org/officeDocument/2006/relationships/footnotes" Target="footnotes.xml"/><Relationship Id="rId10" Type="http://schemas.openxmlformats.org/officeDocument/2006/relationships/hyperlink" Target="https://kenfoxlaw.com/what-strategies-to-reclaim-unregistered-trademark-rights-in-vietnam" TargetMode="External"/><Relationship Id="rId4" Type="http://schemas.openxmlformats.org/officeDocument/2006/relationships/webSettings" Target="webSettings.xml"/><Relationship Id="rId9" Type="http://schemas.openxmlformats.org/officeDocument/2006/relationships/hyperlink" Target="https://kenfoxlaw.com/opposing-an-application-mark-without-prior-rights-in-vietnam-is-it-possibl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kenfox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963</Words>
  <Characters>5493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QUAN Nguyen Vu</dc:creator>
  <cp:lastModifiedBy>PHAN Do Thi</cp:lastModifiedBy>
  <cp:revision>2</cp:revision>
  <cp:lastPrinted>2022-05-11T02:26:00Z</cp:lastPrinted>
  <dcterms:created xsi:type="dcterms:W3CDTF">2022-07-15T04:43:00Z</dcterms:created>
  <dcterms:modified xsi:type="dcterms:W3CDTF">2022-07-15T04:43:00Z</dcterms:modified>
</cp:coreProperties>
</file>