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9E5F" w14:textId="26BBACC1" w:rsidR="00B03845" w:rsidRPr="008041CB" w:rsidRDefault="00FF42CF" w:rsidP="00CF01F1">
      <w:pPr>
        <w:spacing w:after="0" w:line="240" w:lineRule="auto"/>
        <w:ind w:right="886"/>
        <w:jc w:val="center"/>
        <w:rPr>
          <w:rFonts w:ascii="Arial" w:hAnsi="Arial" w:cs="Arial"/>
          <w:b/>
          <w:bCs/>
          <w:color w:val="C00000"/>
          <w:szCs w:val="24"/>
        </w:rPr>
      </w:pPr>
      <w:bookmarkStart w:id="0" w:name="_Hlk109812183"/>
      <w:r>
        <w:rPr>
          <w:rFonts w:ascii="Arial" w:hAnsi="Arial" w:cs="Arial"/>
          <w:b/>
          <w:bCs/>
          <w:color w:val="C00000"/>
          <w:szCs w:val="24"/>
        </w:rPr>
        <w:pict w14:anchorId="6F8A9138">
          <v:rect id="Rectangle 14" o:spid="_x0000_s1027" style="position:absolute;left:0;text-align:left;margin-left:-38.7pt;margin-top:-46.2pt;width:336.25pt;height:21pt;z-index:25167564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" fillcolor="#f56b2e" strokecolor="#f56b2e" strokeweight="2pt">
            <v:textbox style="mso-next-textbox:#Rectangle 14">
              <w:txbxContent>
                <w:p w14:paraId="778C20FB" w14:textId="66B217AB" w:rsidR="00FC4D5B" w:rsidRPr="00653E7B" w:rsidRDefault="00FF42CF" w:rsidP="00B12D09">
                  <w:pPr>
                    <w:spacing w:after="0" w:line="240" w:lineRule="auto"/>
                    <w:jc w:val="center"/>
                    <w:rPr>
                      <w:rFonts w:ascii="Arial" w:hAnsi="Arial" w:cs="Arial"/>
                      <w:b/>
                      <w:color w:val="FFFFFF" w:themeColor="background1"/>
                      <w:sz w:val="22"/>
                    </w:rPr>
                  </w:pPr>
                  <w:r w:rsidRPr="00FF42CF">
                    <w:rPr>
                      <w:rFonts w:ascii="Arial" w:hAnsi="Arial" w:cs="Arial"/>
                      <w:b/>
                      <w:color w:val="FFFFFF" w:themeColor="background1"/>
                      <w:sz w:val="22"/>
                    </w:rPr>
                    <w:t>Xung đột giữa nhãn hiệu và quyền tác giả - xử lý thế nào?</w:t>
                  </w:r>
                </w:p>
              </w:txbxContent>
            </v:textbox>
          </v:rect>
        </w:pict>
      </w:r>
      <w:r w:rsidR="006C1E7E">
        <w:rPr>
          <w:rFonts w:ascii="Arial" w:hAnsi="Arial" w:cs="Arial"/>
          <w:b/>
          <w:bCs/>
          <w:color w:val="C00000"/>
          <w:szCs w:val="24"/>
        </w:rPr>
        <w:pict w14:anchorId="37D7DEC9">
          <v:rect id="Rectangle 16" o:spid="_x0000_s1026" style="position:absolute;left:0;text-align:left;margin-left:502.2pt;margin-top:-27pt;width:26.1pt;height:811.8pt;z-index:251677696;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Rectangle 16" inset="0,0,0,0">
              <w:txbxContent>
                <w:p w14:paraId="1235891B" w14:textId="73409266" w:rsidR="00FC4D5B" w:rsidRPr="00435C47" w:rsidRDefault="00FC4D5B" w:rsidP="00FC4D5B">
                  <w:pPr>
                    <w:spacing w:after="0" w:line="240" w:lineRule="auto"/>
                    <w:rPr>
                      <w:rFonts w:ascii="Arial" w:hAnsi="Arial" w:cs="Arial"/>
                      <w:b/>
                      <w:color w:val="FFFFFF" w:themeColor="background1"/>
                      <w:sz w:val="22"/>
                    </w:rPr>
                  </w:pPr>
                  <w:r>
                    <w:rPr>
                      <w:b/>
                      <w:color w:val="FFFFFF" w:themeColor="background1"/>
                      <w:sz w:val="22"/>
                    </w:rPr>
                    <w:t xml:space="preserve">          </w:t>
                  </w:r>
                  <w:r w:rsidR="00BE315D" w:rsidRPr="00BE315D">
                    <w:rPr>
                      <w:rFonts w:ascii="Arial" w:hAnsi="Arial" w:cs="Arial"/>
                      <w:b/>
                      <w:color w:val="FFFFFF" w:themeColor="background1"/>
                      <w:sz w:val="22"/>
                    </w:rPr>
                    <w:t>Xung đột giữa nhãn hiệu và quyền tác giả - xử lý thế nào?</w:t>
                  </w:r>
                </w:p>
              </w:txbxContent>
            </v:textbox>
          </v:rect>
        </w:pict>
      </w:r>
      <w:r w:rsidR="00B03845" w:rsidRPr="001154CB">
        <w:rPr>
          <w:rFonts w:ascii="Arial" w:hAnsi="Arial" w:cs="Arial"/>
          <w:b/>
          <w:bCs/>
          <w:color w:val="C00000"/>
          <w:szCs w:val="24"/>
        </w:rPr>
        <w:t>Q</w:t>
      </w:r>
      <w:r w:rsidR="00B03845" w:rsidRPr="008041CB">
        <w:rPr>
          <w:rFonts w:ascii="Arial" w:hAnsi="Arial" w:cs="Arial"/>
          <w:b/>
          <w:bCs/>
          <w:color w:val="C00000"/>
          <w:szCs w:val="24"/>
        </w:rPr>
        <w:t>uyền tác giả đánh bại quyền nhãn hiệu – Một vụ việc hay để hiểu hơn về lợi ích của đăng ký quyền tác giả tại Việt Nam</w:t>
      </w:r>
    </w:p>
    <w:p w14:paraId="45988FA2" w14:textId="77777777" w:rsidR="00A56CB2" w:rsidRDefault="002312BA" w:rsidP="00A56CB2">
      <w:pPr>
        <w:spacing w:after="0" w:line="240" w:lineRule="auto"/>
        <w:jc w:val="both"/>
        <w:rPr>
          <w:rFonts w:ascii="Arial" w:eastAsiaTheme="minorHAnsi" w:hAnsi="Arial" w:cs="Arial"/>
          <w:b/>
          <w:color w:val="C00000"/>
          <w:sz w:val="26"/>
          <w:szCs w:val="26"/>
          <w:lang w:eastAsia="en-US"/>
        </w:rPr>
      </w:pPr>
      <w:r>
        <w:rPr>
          <w:rFonts w:ascii="Arial" w:eastAsiaTheme="minorHAnsi" w:hAnsi="Arial" w:cs="Arial"/>
          <w:b/>
          <w:color w:val="C00000"/>
          <w:sz w:val="26"/>
          <w:szCs w:val="26"/>
          <w:lang w:eastAsia="en-US"/>
        </w:rPr>
        <w:t xml:space="preserve"> </w:t>
      </w:r>
    </w:p>
    <w:p w14:paraId="3C857F78" w14:textId="08CB21C8" w:rsidR="00AE1C46" w:rsidRPr="00FF42CF" w:rsidRDefault="00A56CB2" w:rsidP="00CF01F1">
      <w:pPr>
        <w:spacing w:after="0" w:line="240" w:lineRule="auto"/>
        <w:jc w:val="both"/>
        <w:rPr>
          <w:rFonts w:ascii="Arial" w:hAnsi="Arial" w:cs="Arial"/>
          <w:i/>
          <w:iCs/>
          <w:sz w:val="20"/>
          <w:szCs w:val="20"/>
        </w:rPr>
      </w:pPr>
      <w:r w:rsidRPr="00FF42CF">
        <w:rPr>
          <w:rFonts w:ascii="Arial" w:hAnsi="Arial" w:cs="Arial"/>
          <w:i/>
          <w:iCs/>
          <w:sz w:val="20"/>
          <w:szCs w:val="20"/>
        </w:rPr>
        <w:t>Một trong những nguyên tắc xác lập quyền đối với tài sản trí tuệ đang được áp dụng tại Việt Nam hiện nay là “first-to-file” (nguyên tắc nộp đơn đầu tiên). Tuy nhiên, vụ tranh chấp giữa quyền tác giả và nhãn hiệu dưới đây lại cho chúng ta một góc nhìn khác, với ba điều có có thể tóm tắt như sau: </w:t>
      </w:r>
      <w:r w:rsidRPr="00FF42CF">
        <w:rPr>
          <w:rFonts w:ascii="Arial" w:hAnsi="Arial" w:cs="Arial"/>
          <w:b/>
          <w:bCs/>
          <w:i/>
          <w:iCs/>
          <w:sz w:val="20"/>
          <w:szCs w:val="20"/>
        </w:rPr>
        <w:t>(i)</w:t>
      </w:r>
      <w:r w:rsidRPr="00FF42CF">
        <w:rPr>
          <w:rFonts w:ascii="Arial" w:hAnsi="Arial" w:cs="Arial"/>
          <w:i/>
          <w:iCs/>
          <w:sz w:val="20"/>
          <w:szCs w:val="20"/>
        </w:rPr>
        <w:t xml:space="preserve"> Quyền tác giả có thể đánh bại quyền nhãn hiệu; </w:t>
      </w:r>
      <w:r w:rsidRPr="00FF42CF">
        <w:rPr>
          <w:rFonts w:ascii="Arial" w:hAnsi="Arial" w:cs="Arial"/>
          <w:b/>
          <w:bCs/>
          <w:i/>
          <w:iCs/>
          <w:sz w:val="20"/>
          <w:szCs w:val="20"/>
        </w:rPr>
        <w:t>(ii) </w:t>
      </w:r>
      <w:r w:rsidRPr="00FF42CF">
        <w:rPr>
          <w:rFonts w:ascii="Arial" w:hAnsi="Arial" w:cs="Arial"/>
          <w:i/>
          <w:iCs/>
          <w:sz w:val="20"/>
          <w:szCs w:val="20"/>
        </w:rPr>
        <w:t>First-to-file không phải là nguyên tắc tuyệt đối, bất biến. Suy rộng ra, không phải cứ nộp đơn đăng ký nhãn hiệu sớm nhất, bạn mặc nhiên sẽ là chủ nhãn hiệu một cách vĩnh viễn và </w:t>
      </w:r>
      <w:r w:rsidRPr="00FF42CF">
        <w:rPr>
          <w:rFonts w:ascii="Arial" w:hAnsi="Arial" w:cs="Arial"/>
          <w:b/>
          <w:bCs/>
          <w:i/>
          <w:iCs/>
          <w:sz w:val="20"/>
          <w:szCs w:val="20"/>
        </w:rPr>
        <w:t>(iii)</w:t>
      </w:r>
      <w:r w:rsidRPr="00FF42CF">
        <w:rPr>
          <w:rFonts w:ascii="Arial" w:hAnsi="Arial" w:cs="Arial"/>
          <w:i/>
          <w:iCs/>
          <w:sz w:val="20"/>
          <w:szCs w:val="20"/>
        </w:rPr>
        <w:t> Giấy chứng nhận đăng ký nhãn hiệu được Cục SHTT cấp không mặc nhiên là công cụ pháp lý bảo vệ bạn trước các cáo buộc xâm phạm quyền sở hữu trí tuệ của người khác. Suy rộng ra, ngay cả khi nhãn hiệu đã được cấp văn bằng bảo hộ, thì cũng không thể đảm bảo chắc chắn rằng việc sử dụng nhãn hiệu đã đăng ký của bạn sẽ không cấu thành hành vi xâm phạm quyền sở hữu trí tuệ của người khác.</w:t>
      </w:r>
    </w:p>
    <w:p w14:paraId="6680E7D2" w14:textId="77777777" w:rsidR="00A56CB2" w:rsidRPr="007F409E" w:rsidRDefault="00A56CB2" w:rsidP="00CF01F1">
      <w:pPr>
        <w:spacing w:after="0" w:line="240" w:lineRule="auto"/>
        <w:jc w:val="both"/>
        <w:rPr>
          <w:rFonts w:ascii="Arial" w:hAnsi="Arial" w:cs="Arial"/>
          <w:szCs w:val="24"/>
        </w:rPr>
      </w:pPr>
    </w:p>
    <w:p w14:paraId="4F67BEDB" w14:textId="09AD55E5" w:rsidR="00B03845" w:rsidRPr="008041CB" w:rsidRDefault="00B03845" w:rsidP="00CF01F1">
      <w:pPr>
        <w:pStyle w:val="Heading1"/>
        <w:spacing w:before="0" w:line="240" w:lineRule="auto"/>
        <w:rPr>
          <w:sz w:val="24"/>
          <w:szCs w:val="24"/>
        </w:rPr>
      </w:pPr>
      <w:r w:rsidRPr="008041CB">
        <w:rPr>
          <w:sz w:val="24"/>
          <w:szCs w:val="24"/>
        </w:rPr>
        <w:t xml:space="preserve">Bối cảnh </w:t>
      </w:r>
    </w:p>
    <w:p w14:paraId="5A11AEEC" w14:textId="77777777" w:rsidR="00B03845" w:rsidRPr="00B03845" w:rsidRDefault="00B03845" w:rsidP="00CF01F1">
      <w:pPr>
        <w:spacing w:after="0" w:line="240" w:lineRule="auto"/>
        <w:ind w:right="706"/>
        <w:rPr>
          <w:rFonts w:ascii="Arial" w:hAnsi="Arial" w:cs="Arial"/>
          <w:szCs w:val="24"/>
        </w:rPr>
      </w:pPr>
    </w:p>
    <w:p w14:paraId="73708BFE" w14:textId="1505DE60"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 xml:space="preserve">Năm 2006, Fuku Electronics Co., Ltd., một công ty ở Hàn Quốc, đã phát triển nồi áp suất điện được thương mại hóa với logo lấy cảm hứng từ tấm thư pháp nổi tiếng của Hàn Quốc: </w:t>
      </w:r>
      <w:r w:rsidRPr="00B03845">
        <w:rPr>
          <w:rFonts w:ascii="Arial" w:eastAsia="Microsoft YaHei" w:hAnsi="Arial" w:cs="Arial"/>
          <w:noProof/>
          <w:color w:val="333333"/>
          <w:sz w:val="20"/>
          <w:szCs w:val="20"/>
        </w:rPr>
        <w:drawing>
          <wp:inline distT="0" distB="0" distL="0" distR="0" wp14:anchorId="0A835AAE" wp14:editId="0D080256">
            <wp:extent cx="781050" cy="4199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676" cy="420793"/>
                    </a:xfrm>
                    <a:prstGeom prst="rect">
                      <a:avLst/>
                    </a:prstGeom>
                    <a:noFill/>
                    <a:ln>
                      <a:noFill/>
                    </a:ln>
                  </pic:spPr>
                </pic:pic>
              </a:graphicData>
            </a:graphic>
          </wp:inline>
        </w:drawing>
      </w:r>
      <w:r w:rsidRPr="00B03845">
        <w:rPr>
          <w:rFonts w:ascii="Arial" w:hAnsi="Arial" w:cs="Arial"/>
          <w:sz w:val="20"/>
          <w:szCs w:val="20"/>
        </w:rPr>
        <w:t xml:space="preserve"> (</w:t>
      </w:r>
      <w:r w:rsidR="000668DA">
        <w:rPr>
          <w:rFonts w:ascii="Arial" w:hAnsi="Arial" w:cs="Arial"/>
          <w:sz w:val="20"/>
          <w:szCs w:val="20"/>
        </w:rPr>
        <w:t xml:space="preserve">được phiên âm là </w:t>
      </w:r>
      <w:r w:rsidRPr="00B03845">
        <w:rPr>
          <w:rFonts w:ascii="Arial" w:hAnsi="Arial" w:cs="Arial"/>
          <w:sz w:val="20"/>
          <w:szCs w:val="20"/>
        </w:rPr>
        <w:t>"Yipinshi"). Bản quyền gắn liền với sáng tạo nghệ thuật này sau đó được nhượng cho Qingdao Fuku Electronics, một công ty của Trung Quốc.</w:t>
      </w:r>
    </w:p>
    <w:p w14:paraId="3FB77D91" w14:textId="77777777" w:rsidR="00B03845" w:rsidRPr="00B03845" w:rsidRDefault="00B03845" w:rsidP="00CF01F1">
      <w:pPr>
        <w:spacing w:after="0" w:line="240" w:lineRule="auto"/>
        <w:jc w:val="both"/>
        <w:rPr>
          <w:rFonts w:ascii="Arial" w:hAnsi="Arial" w:cs="Arial"/>
          <w:sz w:val="20"/>
          <w:szCs w:val="20"/>
        </w:rPr>
      </w:pPr>
    </w:p>
    <w:p w14:paraId="5C2A69CB" w14:textId="68E10E1E"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 xml:space="preserve">Vào tháng 7/2007, </w:t>
      </w:r>
      <w:r w:rsidRPr="00B03845">
        <w:rPr>
          <w:rFonts w:ascii="Arial" w:hAnsi="Arial" w:cs="Arial"/>
          <w:b/>
          <w:bCs/>
          <w:sz w:val="20"/>
          <w:szCs w:val="20"/>
        </w:rPr>
        <w:t>Zheng Jianhong</w:t>
      </w:r>
      <w:r w:rsidRPr="00B03845">
        <w:rPr>
          <w:rFonts w:ascii="Arial" w:hAnsi="Arial" w:cs="Arial"/>
          <w:sz w:val="20"/>
          <w:szCs w:val="20"/>
        </w:rPr>
        <w:t xml:space="preserve"> đã nộp đơn đăng ký logo "Yipinshi" làm nhãn hiệu cho nồi áp suất điện và các đồ dùng nhà bếp khác. Vào tháng 4 năm 2008, Zheng đã nộp đơn đăng ký một nhãn hiệu "Yipinshi" khác và bắt đầu sử dụng nhãn hiệu này trên nồi áp suất điện, thông qua công ty ở Trạm Giang.</w:t>
      </w:r>
    </w:p>
    <w:p w14:paraId="622978AB" w14:textId="77777777" w:rsidR="00B03845" w:rsidRPr="00B03845" w:rsidRDefault="00B03845" w:rsidP="00CF01F1">
      <w:pPr>
        <w:spacing w:after="0" w:line="240" w:lineRule="auto"/>
        <w:jc w:val="both"/>
        <w:rPr>
          <w:rFonts w:ascii="Arial" w:hAnsi="Arial" w:cs="Arial"/>
          <w:sz w:val="20"/>
          <w:szCs w:val="20"/>
        </w:rPr>
      </w:pPr>
    </w:p>
    <w:p w14:paraId="6C0735D9" w14:textId="77777777"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 xml:space="preserve">Vào tháng 6 năm 2016, </w:t>
      </w:r>
      <w:r w:rsidRPr="00B03845">
        <w:rPr>
          <w:rFonts w:ascii="Arial" w:hAnsi="Arial" w:cs="Arial"/>
          <w:b/>
          <w:bCs/>
          <w:sz w:val="20"/>
          <w:szCs w:val="20"/>
        </w:rPr>
        <w:t xml:space="preserve">Zheng </w:t>
      </w:r>
      <w:r w:rsidRPr="00B03845">
        <w:rPr>
          <w:rFonts w:ascii="Arial" w:hAnsi="Arial" w:cs="Arial"/>
          <w:sz w:val="20"/>
          <w:szCs w:val="20"/>
        </w:rPr>
        <w:t>và công ty của ông đã đệ đơn kiện lên tòa án Trung cấp của Thâm Quyến chống lại cả hai Công ty Điện tử Fuku (</w:t>
      </w:r>
      <w:r w:rsidRPr="00B03845">
        <w:rPr>
          <w:rFonts w:ascii="Arial" w:eastAsia="Microsoft YaHei" w:hAnsi="Arial" w:cs="Arial"/>
          <w:color w:val="333333"/>
          <w:sz w:val="20"/>
          <w:szCs w:val="20"/>
        </w:rPr>
        <w:t>Korea and Qingdao</w:t>
      </w:r>
      <w:r w:rsidRPr="00B03845">
        <w:rPr>
          <w:rFonts w:ascii="Arial" w:hAnsi="Arial" w:cs="Arial"/>
          <w:sz w:val="20"/>
          <w:szCs w:val="20"/>
        </w:rPr>
        <w:t>), cho rằng họ đã vi phạm nhãn hiệu Yipinshi của ông.</w:t>
      </w:r>
    </w:p>
    <w:p w14:paraId="6BA9BE17" w14:textId="77777777" w:rsidR="00B03845" w:rsidRPr="00B03845" w:rsidRDefault="00B03845" w:rsidP="00CF01F1">
      <w:pPr>
        <w:spacing w:after="0" w:line="240" w:lineRule="auto"/>
        <w:jc w:val="both"/>
        <w:rPr>
          <w:rFonts w:ascii="Arial" w:hAnsi="Arial" w:cs="Arial"/>
          <w:sz w:val="20"/>
          <w:szCs w:val="20"/>
        </w:rPr>
      </w:pPr>
    </w:p>
    <w:p w14:paraId="69EE66B9" w14:textId="53DFDDEF"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Fuku Qingdao đã trả đũa bằng cách đệ đơn kiện lên cùng Tòa án Trung cấp Thâm Quyến chống lại Zheng và công ty của ông ta vì vi phạm bản quyền.</w:t>
      </w:r>
    </w:p>
    <w:p w14:paraId="79E7B679" w14:textId="77777777" w:rsidR="00B03845" w:rsidRPr="00B03845" w:rsidRDefault="00B03845" w:rsidP="00CF01F1">
      <w:pPr>
        <w:spacing w:after="0" w:line="240" w:lineRule="auto"/>
        <w:jc w:val="both"/>
        <w:rPr>
          <w:rFonts w:ascii="Arial" w:hAnsi="Arial" w:cs="Arial"/>
          <w:b/>
          <w:bCs/>
          <w:szCs w:val="24"/>
        </w:rPr>
      </w:pPr>
    </w:p>
    <w:p w14:paraId="4950360B" w14:textId="3E94EB02" w:rsidR="00B03845" w:rsidRPr="008041CB" w:rsidRDefault="00B03845" w:rsidP="00CF01F1">
      <w:pPr>
        <w:pStyle w:val="Heading1"/>
        <w:spacing w:before="0" w:line="240" w:lineRule="auto"/>
        <w:rPr>
          <w:sz w:val="24"/>
          <w:szCs w:val="24"/>
        </w:rPr>
      </w:pPr>
      <w:r w:rsidRPr="008041CB">
        <w:rPr>
          <w:sz w:val="24"/>
          <w:szCs w:val="24"/>
        </w:rPr>
        <w:t xml:space="preserve">Phán quyết của Tòa </w:t>
      </w:r>
      <w:r w:rsidR="000668DA">
        <w:rPr>
          <w:sz w:val="24"/>
          <w:szCs w:val="24"/>
        </w:rPr>
        <w:t xml:space="preserve">án cấp </w:t>
      </w:r>
      <w:r w:rsidR="00867CFD">
        <w:rPr>
          <w:sz w:val="24"/>
          <w:szCs w:val="24"/>
        </w:rPr>
        <w:t>sơ thẩm và phúc thẩm</w:t>
      </w:r>
    </w:p>
    <w:p w14:paraId="25362807" w14:textId="77777777" w:rsidR="00B03845" w:rsidRPr="00B03845" w:rsidRDefault="00B03845" w:rsidP="00CF01F1">
      <w:pPr>
        <w:spacing w:after="0" w:line="240" w:lineRule="auto"/>
        <w:jc w:val="both"/>
        <w:rPr>
          <w:rFonts w:ascii="Arial" w:hAnsi="Arial" w:cs="Arial"/>
          <w:szCs w:val="24"/>
        </w:rPr>
      </w:pPr>
    </w:p>
    <w:p w14:paraId="29AA5AD4" w14:textId="7834D52D"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 xml:space="preserve">Tòa án </w:t>
      </w:r>
      <w:r w:rsidR="000668DA">
        <w:rPr>
          <w:rFonts w:ascii="Arial" w:hAnsi="Arial" w:cs="Arial"/>
          <w:sz w:val="20"/>
          <w:szCs w:val="20"/>
        </w:rPr>
        <w:t>t</w:t>
      </w:r>
      <w:r w:rsidRPr="00B03845">
        <w:rPr>
          <w:rFonts w:ascii="Arial" w:hAnsi="Arial" w:cs="Arial"/>
          <w:sz w:val="20"/>
          <w:szCs w:val="20"/>
        </w:rPr>
        <w:t>rung cấp Thâm Quyến đã bác bỏ khiếu kiện về bản quyền của Qingdao Fuku, cho rằng logo "Yipinshi" đã được thiết kế theo tham chiếu đến "Phong cách Qiushi" đã tồn tại trong công chúng và tính nguyên gốc của logo không đủ để được hưởng bảo hộ về quyền tác giả. Hơn nữa, tòa án nhận thấy một số điểm khác biệt giữa các nhãn hiệu vi phạm bị cáo buộc và tác phẩm mỹ thuật được bảo hộ quyền tác giả, điều này cho thấy sự giống nhau cơ bản đã không được thiết lập. Cuối cùng, bị đơn tuyên bố rằng họ có độc quyền sử dụng các nhãn hiệu của họ đã được đăng ký hơn năm năm và do đó, không thể bị hủy bỏ hiệu lực.</w:t>
      </w:r>
    </w:p>
    <w:p w14:paraId="076B3908" w14:textId="77777777" w:rsidR="00B03845" w:rsidRPr="00B03845" w:rsidRDefault="00B03845" w:rsidP="00CF01F1">
      <w:pPr>
        <w:spacing w:after="0" w:line="240" w:lineRule="auto"/>
        <w:jc w:val="both"/>
        <w:rPr>
          <w:rFonts w:ascii="Arial" w:hAnsi="Arial" w:cs="Arial"/>
          <w:sz w:val="20"/>
          <w:szCs w:val="20"/>
        </w:rPr>
      </w:pPr>
    </w:p>
    <w:p w14:paraId="37779C5B" w14:textId="2C77DEF8"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 xml:space="preserve">Tòa án </w:t>
      </w:r>
      <w:r w:rsidR="000668DA">
        <w:rPr>
          <w:rFonts w:ascii="Arial" w:hAnsi="Arial" w:cs="Arial"/>
          <w:sz w:val="20"/>
          <w:szCs w:val="20"/>
        </w:rPr>
        <w:t>c</w:t>
      </w:r>
      <w:r w:rsidRPr="00B03845">
        <w:rPr>
          <w:rFonts w:ascii="Arial" w:hAnsi="Arial" w:cs="Arial"/>
          <w:sz w:val="20"/>
          <w:szCs w:val="20"/>
        </w:rPr>
        <w:t>ấp cao Quảng Đông đã giữ nguyên phán quyết, Fuku Electronics đã yêu cầu xét xử lại trước Tòa án nhân dân tối cao.</w:t>
      </w:r>
    </w:p>
    <w:p w14:paraId="02B62E99" w14:textId="77777777" w:rsidR="00B03845" w:rsidRPr="00B03845" w:rsidRDefault="00B03845" w:rsidP="00CF01F1">
      <w:pPr>
        <w:spacing w:after="0" w:line="240" w:lineRule="auto"/>
        <w:jc w:val="both"/>
        <w:rPr>
          <w:rFonts w:ascii="Arial" w:hAnsi="Arial" w:cs="Arial"/>
          <w:szCs w:val="24"/>
        </w:rPr>
      </w:pPr>
    </w:p>
    <w:p w14:paraId="22264766" w14:textId="66AA4888" w:rsidR="00B03845" w:rsidRPr="008041CB" w:rsidRDefault="00867CFD" w:rsidP="00CF01F1">
      <w:pPr>
        <w:pStyle w:val="Heading1"/>
        <w:spacing w:before="0" w:line="240" w:lineRule="auto"/>
        <w:rPr>
          <w:sz w:val="24"/>
          <w:szCs w:val="24"/>
        </w:rPr>
      </w:pPr>
      <w:r>
        <w:rPr>
          <w:sz w:val="24"/>
          <w:szCs w:val="24"/>
        </w:rPr>
        <w:t xml:space="preserve">Phán quyết của Tòa án nhân dân tối cao - </w:t>
      </w:r>
      <w:r w:rsidR="00B03845" w:rsidRPr="008041CB">
        <w:rPr>
          <w:sz w:val="24"/>
          <w:szCs w:val="24"/>
        </w:rPr>
        <w:t>Quyền tác giả đánh bại quyền nhãn hiệu</w:t>
      </w:r>
    </w:p>
    <w:p w14:paraId="318DE727" w14:textId="77777777" w:rsidR="00B03845" w:rsidRPr="00B03845" w:rsidRDefault="00B03845" w:rsidP="00CF01F1">
      <w:pPr>
        <w:spacing w:after="0" w:line="240" w:lineRule="auto"/>
        <w:jc w:val="both"/>
        <w:rPr>
          <w:rFonts w:ascii="Arial" w:hAnsi="Arial" w:cs="Arial"/>
          <w:szCs w:val="24"/>
        </w:rPr>
      </w:pPr>
    </w:p>
    <w:p w14:paraId="2BE99E82" w14:textId="1C535CBC"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Vào ngày 16</w:t>
      </w:r>
      <w:r w:rsidR="000668DA">
        <w:rPr>
          <w:rFonts w:ascii="Arial" w:hAnsi="Arial" w:cs="Arial"/>
          <w:sz w:val="20"/>
          <w:szCs w:val="20"/>
        </w:rPr>
        <w:t>/12/</w:t>
      </w:r>
      <w:r w:rsidRPr="00B03845">
        <w:rPr>
          <w:rFonts w:ascii="Arial" w:hAnsi="Arial" w:cs="Arial"/>
          <w:sz w:val="20"/>
          <w:szCs w:val="20"/>
        </w:rPr>
        <w:t xml:space="preserve">2021, Tòa án </w:t>
      </w:r>
      <w:r w:rsidR="000668DA">
        <w:rPr>
          <w:rFonts w:ascii="Arial" w:hAnsi="Arial" w:cs="Arial"/>
          <w:sz w:val="20"/>
          <w:szCs w:val="20"/>
        </w:rPr>
        <w:t>n</w:t>
      </w:r>
      <w:r w:rsidRPr="00B03845">
        <w:rPr>
          <w:rFonts w:ascii="Arial" w:hAnsi="Arial" w:cs="Arial"/>
          <w:sz w:val="20"/>
          <w:szCs w:val="20"/>
        </w:rPr>
        <w:t xml:space="preserve">hân dân </w:t>
      </w:r>
      <w:r w:rsidR="000668DA">
        <w:rPr>
          <w:rFonts w:ascii="Arial" w:hAnsi="Arial" w:cs="Arial"/>
          <w:sz w:val="20"/>
          <w:szCs w:val="20"/>
        </w:rPr>
        <w:t>t</w:t>
      </w:r>
      <w:r w:rsidRPr="00B03845">
        <w:rPr>
          <w:rFonts w:ascii="Arial" w:hAnsi="Arial" w:cs="Arial"/>
          <w:sz w:val="20"/>
          <w:szCs w:val="20"/>
        </w:rPr>
        <w:t>ối cao đã đảo ngược phán quyết ban đầu và nhận thấy rằng Zheng và công ty của ông đã vi phạm bản quyền của Fuku Electronics.</w:t>
      </w:r>
    </w:p>
    <w:p w14:paraId="3C72A4D0" w14:textId="77777777" w:rsidR="00B03845" w:rsidRPr="00B03845" w:rsidRDefault="00B03845" w:rsidP="00CF01F1">
      <w:pPr>
        <w:spacing w:after="0" w:line="240" w:lineRule="auto"/>
        <w:jc w:val="both"/>
        <w:rPr>
          <w:rFonts w:ascii="Arial" w:hAnsi="Arial" w:cs="Arial"/>
          <w:sz w:val="20"/>
          <w:szCs w:val="20"/>
        </w:rPr>
      </w:pPr>
    </w:p>
    <w:p w14:paraId="15299343" w14:textId="77777777"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Tòa án nhân dân tối cao (Supreme People’s Court) cho rằng các ký tự thư pháp cụ thể có thể tạo thành tác phẩm nghệ thuật ngay cả khi chúng sử dụng phông chữ đã quen thuộc với công chúng. Miễn là tác giả thực hiện mô hình thư pháp một cách độc lập và thể hiện tính cá nhân của mình, thì nó có thể đáp ứng yêu cầu về tính nguyên gốc trong luật bản quyền và trở thành một tác phẩm nghệ thuật được bảo vệ bởi luật Bản quyền.</w:t>
      </w:r>
    </w:p>
    <w:p w14:paraId="770320B1" w14:textId="77777777" w:rsidR="00B03845" w:rsidRPr="00B03845" w:rsidRDefault="00B03845" w:rsidP="00CF01F1">
      <w:pPr>
        <w:spacing w:after="0" w:line="240" w:lineRule="auto"/>
        <w:jc w:val="both"/>
        <w:rPr>
          <w:rFonts w:ascii="Arial" w:hAnsi="Arial" w:cs="Arial"/>
          <w:sz w:val="20"/>
          <w:szCs w:val="20"/>
        </w:rPr>
      </w:pPr>
    </w:p>
    <w:p w14:paraId="4E0A1EB6" w14:textId="0A3E6D19"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 xml:space="preserve">Tòa án nhận thấy rằng các ký tự thư pháp "Yipinshi" ít nhiều khác với các ký tự hiện có mà công chúng đã biết đến, và quan trọng hơn, sự kết hợp của chúng là kết quả của sự lựa chọn, tuyển chọn và sắp xếp mang </w:t>
      </w:r>
      <w:r w:rsidR="00FF42CF">
        <w:rPr>
          <w:rFonts w:ascii="Arial" w:hAnsi="Arial" w:cs="Arial"/>
          <w:noProof/>
          <w:sz w:val="20"/>
          <w:szCs w:val="20"/>
        </w:rPr>
        <w:pict w14:anchorId="37D7DEC9">
          <v:rect id="_x0000_s1091" style="position:absolute;left:0;text-align:left;margin-left:502.2pt;margin-top:-28.7pt;width:26.1pt;height:811.8pt;z-index:25167974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91" inset="0,0,0,0">
              <w:txbxContent>
                <w:p w14:paraId="1F877453" w14:textId="691F55F9" w:rsidR="00B44CDB" w:rsidRPr="00435C47" w:rsidRDefault="00B44CDB" w:rsidP="00B44CDB">
                  <w:pPr>
                    <w:spacing w:after="0" w:line="240" w:lineRule="auto"/>
                    <w:rPr>
                      <w:rFonts w:ascii="Arial" w:hAnsi="Arial" w:cs="Arial"/>
                      <w:b/>
                      <w:color w:val="FFFFFF" w:themeColor="background1"/>
                      <w:sz w:val="22"/>
                    </w:rPr>
                  </w:pPr>
                  <w:r>
                    <w:rPr>
                      <w:b/>
                      <w:color w:val="FFFFFF" w:themeColor="background1"/>
                      <w:sz w:val="22"/>
                    </w:rPr>
                    <w:t xml:space="preserve">          </w:t>
                  </w:r>
                  <w:r w:rsidR="00BE315D" w:rsidRPr="00BE315D">
                    <w:rPr>
                      <w:rFonts w:ascii="Arial" w:hAnsi="Arial" w:cs="Arial"/>
                      <w:b/>
                      <w:color w:val="FFFFFF" w:themeColor="background1"/>
                      <w:sz w:val="22"/>
                    </w:rPr>
                    <w:t>Xung đột giữa nhãn hiệu và quyền tác giả - xử lý thế nào?</w:t>
                  </w:r>
                </w:p>
              </w:txbxContent>
            </v:textbox>
          </v:rect>
        </w:pict>
      </w:r>
      <w:r w:rsidRPr="00B03845">
        <w:rPr>
          <w:rFonts w:ascii="Arial" w:hAnsi="Arial" w:cs="Arial"/>
          <w:sz w:val="20"/>
          <w:szCs w:val="20"/>
        </w:rPr>
        <w:t>tính cá nhân, thuộc về cách diễn đạt đầu tiên của tác giả, và nên được coi như một tác phẩm nghệ thuật theo nghĩa của Luật Bản quyền.</w:t>
      </w:r>
    </w:p>
    <w:p w14:paraId="7549020F" w14:textId="3CB460CF" w:rsidR="00B03845" w:rsidRPr="00B03845" w:rsidRDefault="00B03845" w:rsidP="00CF01F1">
      <w:pPr>
        <w:spacing w:after="0" w:line="240" w:lineRule="auto"/>
        <w:jc w:val="both"/>
        <w:rPr>
          <w:rFonts w:ascii="Arial" w:hAnsi="Arial" w:cs="Arial"/>
          <w:sz w:val="20"/>
          <w:szCs w:val="20"/>
        </w:rPr>
      </w:pPr>
    </w:p>
    <w:p w14:paraId="0CE0E067" w14:textId="2B9E30EF" w:rsidR="00B03845" w:rsidRPr="00A56CB2" w:rsidRDefault="00B03845" w:rsidP="00CF01F1">
      <w:pPr>
        <w:spacing w:after="0" w:line="240" w:lineRule="auto"/>
        <w:jc w:val="both"/>
        <w:rPr>
          <w:rFonts w:ascii="Arial" w:hAnsi="Arial" w:cs="Arial"/>
          <w:sz w:val="20"/>
          <w:szCs w:val="20"/>
        </w:rPr>
      </w:pPr>
      <w:r w:rsidRPr="00B03845">
        <w:rPr>
          <w:rFonts w:ascii="Arial" w:hAnsi="Arial" w:cs="Arial"/>
          <w:sz w:val="20"/>
          <w:szCs w:val="20"/>
        </w:rPr>
        <w:t xml:space="preserve">Liên quan đến sự giống nhau giữa các tác phẩm nghệ thuật và các nhãn hiệu, Tòa án Tối cao đã đảo ngược các kết quả của các tòa án sơ thẩm và phúc thẩm và nhận thấy rằng sự giống nhau đã được thiết lập rõ </w:t>
      </w:r>
      <w:r w:rsidRPr="00A56CB2">
        <w:rPr>
          <w:rFonts w:ascii="Arial" w:hAnsi="Arial" w:cs="Arial"/>
          <w:sz w:val="20"/>
          <w:szCs w:val="20"/>
        </w:rPr>
        <w:t>ràng</w:t>
      </w:r>
      <w:r w:rsidR="004F36A7" w:rsidRPr="00A56CB2">
        <w:rPr>
          <w:rFonts w:ascii="Arial" w:hAnsi="Arial" w:cs="Arial"/>
          <w:sz w:val="20"/>
          <w:szCs w:val="20"/>
        </w:rPr>
        <w:t xml:space="preserve">, </w:t>
      </w:r>
      <w:bookmarkStart w:id="1" w:name="_Hlk109814451"/>
      <w:r w:rsidR="004F36A7" w:rsidRPr="00A56CB2">
        <w:rPr>
          <w:rFonts w:ascii="Arial" w:hAnsi="Arial" w:cs="Arial"/>
          <w:sz w:val="20"/>
          <w:szCs w:val="20"/>
        </w:rPr>
        <w:t>điều này có nghĩa rằng q</w:t>
      </w:r>
      <w:r w:rsidR="004F36A7" w:rsidRPr="00A56CB2">
        <w:rPr>
          <w:rFonts w:ascii="Arial" w:hAnsi="Arial" w:cs="Arial"/>
          <w:sz w:val="20"/>
          <w:szCs w:val="20"/>
        </w:rPr>
        <w:t>uyền tác giả đánh bại quyền nhãn hiệu</w:t>
      </w:r>
      <w:r w:rsidR="004F36A7" w:rsidRPr="00A56CB2">
        <w:rPr>
          <w:rFonts w:ascii="Arial" w:hAnsi="Arial" w:cs="Arial"/>
          <w:sz w:val="20"/>
          <w:szCs w:val="20"/>
        </w:rPr>
        <w:t>.</w:t>
      </w:r>
      <w:bookmarkEnd w:id="1"/>
    </w:p>
    <w:p w14:paraId="2A0D9913" w14:textId="366FE76F" w:rsidR="00B03845" w:rsidRPr="00B03845" w:rsidRDefault="00B03845" w:rsidP="00CF01F1">
      <w:pPr>
        <w:spacing w:after="0" w:line="240" w:lineRule="auto"/>
        <w:jc w:val="both"/>
        <w:rPr>
          <w:rFonts w:ascii="Arial" w:hAnsi="Arial" w:cs="Arial"/>
          <w:sz w:val="20"/>
          <w:szCs w:val="20"/>
        </w:rPr>
      </w:pPr>
    </w:p>
    <w:p w14:paraId="66B63695" w14:textId="65FF9CFD"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Cuối cùng, Tòa án tối cao cũng bác bỏ lập luận của chủ sở hữu nhãn hiệu dựa trên quyền đối với nhãn hiệu độc quyền và khi hết thời hạn năm năm sau ngày đăng ký. Tòa trích dẫn Điều 1.1 của "Quy định về một số vấn đề liên quan đến xung đột giữa nhãn hiệu đã đăng ký và các quyền trước đây" (2008): "</w:t>
      </w:r>
      <w:r w:rsidRPr="00B03845">
        <w:rPr>
          <w:rFonts w:ascii="Arial" w:hAnsi="Arial" w:cs="Arial"/>
          <w:i/>
          <w:iCs/>
          <w:sz w:val="20"/>
          <w:szCs w:val="20"/>
        </w:rPr>
        <w:t xml:space="preserve">Trường hợp nguyên đơn nộp đơn kiện với lý do các ký tự, hình ảnh, v.v. được sử dụng trong nhãn hiệu đã đăng ký của </w:t>
      </w:r>
      <w:r w:rsidRPr="00B03845">
        <w:rPr>
          <w:rFonts w:ascii="Arial" w:hAnsi="Arial" w:cs="Arial"/>
          <w:i/>
          <w:iCs/>
          <w:sz w:val="20"/>
          <w:szCs w:val="20"/>
        </w:rPr>
        <w:lastRenderedPageBreak/>
        <w:t>người khác vi phạm nhãn hiệu đã đăng ký các quyền trước của nguyên đơn như quyền tác giả, kiểu dáng công nghiệp, quyền đặt tên doanh nghiệp, ... phù hợp với quy định tại Điều 119 Luật Tố tụng dân sự thì Tòa án nhân dân thụ lý vụ kiện</w:t>
      </w:r>
      <w:r w:rsidRPr="00B03845">
        <w:rPr>
          <w:rFonts w:ascii="Arial" w:hAnsi="Arial" w:cs="Arial"/>
          <w:sz w:val="20"/>
          <w:szCs w:val="20"/>
        </w:rPr>
        <w:t xml:space="preserve"> ".</w:t>
      </w:r>
    </w:p>
    <w:p w14:paraId="7758D34F" w14:textId="77777777" w:rsidR="00B03845" w:rsidRPr="00B03845" w:rsidRDefault="00B03845" w:rsidP="00CF01F1">
      <w:pPr>
        <w:spacing w:after="0" w:line="240" w:lineRule="auto"/>
        <w:jc w:val="both"/>
        <w:rPr>
          <w:rFonts w:ascii="Arial" w:hAnsi="Arial" w:cs="Arial"/>
          <w:sz w:val="20"/>
          <w:szCs w:val="20"/>
        </w:rPr>
      </w:pPr>
    </w:p>
    <w:p w14:paraId="25AF6E18" w14:textId="77777777" w:rsidR="00B03845" w:rsidRPr="00B03845" w:rsidRDefault="00B03845" w:rsidP="00CF01F1">
      <w:pPr>
        <w:spacing w:after="0" w:line="240" w:lineRule="auto"/>
        <w:jc w:val="both"/>
        <w:rPr>
          <w:rFonts w:ascii="Arial" w:hAnsi="Arial" w:cs="Arial"/>
          <w:sz w:val="20"/>
          <w:szCs w:val="20"/>
        </w:rPr>
      </w:pPr>
      <w:r w:rsidRPr="00B03845">
        <w:rPr>
          <w:rFonts w:ascii="Arial" w:hAnsi="Arial" w:cs="Arial"/>
          <w:sz w:val="20"/>
          <w:szCs w:val="20"/>
        </w:rPr>
        <w:t>Tòa án cuối cùng đã ra phán quyết buộc Zheng Jianhong và công ty của anh ta ngay lập tức ngừng vi phạm tác phẩm nghệ thuật "Yipinshi" của Qingdao Fukuand, bồi thường thiệt hại vật chất cho Qingdao Fuku và các chi phí hợp lý với tổng trị giá 500.000 NDT.</w:t>
      </w:r>
    </w:p>
    <w:p w14:paraId="561F53E0" w14:textId="77777777" w:rsidR="00B03845" w:rsidRPr="00B03845" w:rsidRDefault="00B03845" w:rsidP="00CF01F1">
      <w:pPr>
        <w:spacing w:after="0" w:line="240" w:lineRule="auto"/>
        <w:jc w:val="both"/>
        <w:rPr>
          <w:rFonts w:ascii="Arial" w:hAnsi="Arial" w:cs="Arial"/>
          <w:sz w:val="20"/>
          <w:szCs w:val="20"/>
        </w:rPr>
      </w:pPr>
    </w:p>
    <w:p w14:paraId="0E760E55" w14:textId="0709F732" w:rsidR="00B03845" w:rsidRPr="00CF01F1" w:rsidRDefault="00B03845" w:rsidP="00CF01F1">
      <w:pPr>
        <w:spacing w:after="0" w:line="240" w:lineRule="auto"/>
        <w:jc w:val="right"/>
        <w:rPr>
          <w:rFonts w:ascii="Arial" w:hAnsi="Arial" w:cs="Arial"/>
          <w:b/>
          <w:bCs/>
          <w:i/>
          <w:iCs/>
          <w:sz w:val="20"/>
          <w:szCs w:val="20"/>
        </w:rPr>
      </w:pPr>
      <w:r w:rsidRPr="00B03845">
        <w:rPr>
          <w:rFonts w:ascii="Arial" w:hAnsi="Arial" w:cs="Arial"/>
          <w:b/>
          <w:bCs/>
          <w:i/>
          <w:iCs/>
          <w:sz w:val="20"/>
          <w:szCs w:val="20"/>
        </w:rPr>
        <w:t>&lt;Dịch bởi: KENFOX IP &amp; LAW OFFICE, nguồn: wanhuida&gt;</w:t>
      </w:r>
    </w:p>
    <w:p w14:paraId="6210866E" w14:textId="7B726F5F" w:rsidR="00B03845" w:rsidRPr="008041CB" w:rsidRDefault="00B03845" w:rsidP="000419BB">
      <w:pPr>
        <w:pStyle w:val="Heading1"/>
        <w:spacing w:before="0" w:line="240" w:lineRule="auto"/>
        <w:rPr>
          <w:sz w:val="24"/>
          <w:szCs w:val="24"/>
        </w:rPr>
      </w:pPr>
      <w:r w:rsidRPr="008041CB">
        <w:rPr>
          <w:sz w:val="24"/>
          <w:szCs w:val="24"/>
        </w:rPr>
        <w:t>Bài học rút ra</w:t>
      </w:r>
    </w:p>
    <w:p w14:paraId="2F6DCEC3" w14:textId="77777777" w:rsidR="000419BB" w:rsidRDefault="000419BB" w:rsidP="000419BB">
      <w:pPr>
        <w:spacing w:after="0" w:line="240" w:lineRule="auto"/>
        <w:jc w:val="both"/>
        <w:rPr>
          <w:rFonts w:ascii="Arial" w:hAnsi="Arial" w:cs="Arial"/>
          <w:sz w:val="20"/>
          <w:szCs w:val="20"/>
        </w:rPr>
      </w:pPr>
    </w:p>
    <w:p w14:paraId="22B402D4" w14:textId="4A7209C9" w:rsidR="000668DA" w:rsidRPr="000419BB" w:rsidRDefault="000668DA" w:rsidP="000419BB">
      <w:pPr>
        <w:pStyle w:val="Heading2"/>
        <w:numPr>
          <w:ilvl w:val="0"/>
          <w:numId w:val="17"/>
        </w:numPr>
        <w:spacing w:before="0"/>
        <w:rPr>
          <w:rFonts w:ascii="Arial" w:hAnsi="Arial" w:cs="Arial"/>
        </w:rPr>
      </w:pPr>
      <w:r w:rsidRPr="000419BB">
        <w:rPr>
          <w:rFonts w:ascii="Arial" w:eastAsiaTheme="minorEastAsia" w:hAnsi="Arial" w:cs="Arial"/>
          <w:color w:val="538135"/>
          <w:sz w:val="20"/>
          <w:szCs w:val="20"/>
        </w:rPr>
        <w:t>Tính nguyên gốc – điều kiện quan trọng nhất để được bảo hộ quyền tác giả:</w:t>
      </w:r>
    </w:p>
    <w:p w14:paraId="6EDD4346" w14:textId="77777777" w:rsidR="000668DA" w:rsidRPr="000419BB" w:rsidRDefault="000668DA" w:rsidP="000419BB">
      <w:pPr>
        <w:pStyle w:val="ListParagraph"/>
        <w:spacing w:after="0" w:line="240" w:lineRule="auto"/>
        <w:ind w:left="360"/>
        <w:jc w:val="both"/>
        <w:rPr>
          <w:rFonts w:ascii="Arial" w:hAnsi="Arial" w:cs="Arial"/>
          <w:sz w:val="20"/>
          <w:szCs w:val="20"/>
        </w:rPr>
      </w:pPr>
    </w:p>
    <w:p w14:paraId="396AC07A" w14:textId="77777777" w:rsidR="000668DA" w:rsidRPr="000419BB" w:rsidRDefault="000668DA" w:rsidP="000419BB">
      <w:pPr>
        <w:pStyle w:val="ListParagraph"/>
        <w:spacing w:after="0" w:line="240" w:lineRule="auto"/>
        <w:ind w:left="360"/>
        <w:jc w:val="both"/>
        <w:rPr>
          <w:rFonts w:ascii="Arial" w:hAnsi="Arial" w:cs="Arial"/>
          <w:sz w:val="20"/>
          <w:szCs w:val="20"/>
        </w:rPr>
      </w:pPr>
      <w:r w:rsidRPr="000419BB">
        <w:rPr>
          <w:rFonts w:ascii="Arial" w:hAnsi="Arial" w:cs="Arial"/>
          <w:sz w:val="20"/>
          <w:szCs w:val="20"/>
        </w:rPr>
        <w:t>Tính nguyên gốc là điều kiện cần thiết để tác phẩm được bảo hộ bởi Luật bản quyền. Nhưng sự khác biệt về quan điểm có thể xảy ra khi đánh giá mức độ nguyên gốc: tính nguyên gốc chỉ nên tồn tại, ngay cả khi ở mức thấp, hay nó nên đạt đến một mức độ nhất định?</w:t>
      </w:r>
    </w:p>
    <w:p w14:paraId="4F66DF76" w14:textId="77777777" w:rsidR="000668DA" w:rsidRPr="000419BB" w:rsidRDefault="000668DA" w:rsidP="000419BB">
      <w:pPr>
        <w:pStyle w:val="ListParagraph"/>
        <w:spacing w:after="0" w:line="240" w:lineRule="auto"/>
        <w:ind w:left="360"/>
        <w:jc w:val="both"/>
        <w:rPr>
          <w:rFonts w:ascii="Arial" w:hAnsi="Arial" w:cs="Arial"/>
          <w:sz w:val="20"/>
          <w:szCs w:val="20"/>
        </w:rPr>
      </w:pPr>
    </w:p>
    <w:p w14:paraId="38979539" w14:textId="77777777" w:rsidR="000668DA" w:rsidRPr="000419BB" w:rsidRDefault="000668DA" w:rsidP="000419BB">
      <w:pPr>
        <w:pStyle w:val="ListParagraph"/>
        <w:spacing w:after="0" w:line="240" w:lineRule="auto"/>
        <w:ind w:left="360"/>
        <w:jc w:val="both"/>
        <w:rPr>
          <w:rFonts w:ascii="Arial" w:hAnsi="Arial" w:cs="Arial"/>
          <w:sz w:val="20"/>
          <w:szCs w:val="20"/>
        </w:rPr>
      </w:pPr>
      <w:r w:rsidRPr="000419BB">
        <w:rPr>
          <w:rFonts w:ascii="Arial" w:hAnsi="Arial" w:cs="Arial"/>
          <w:sz w:val="20"/>
          <w:szCs w:val="20"/>
        </w:rPr>
        <w:t>Trong trường hợp "Yipinshi", Tòa án tối cao đã thông qua quan điểm rằng ngay cả khi tác phẩm nghệ thuật có nguồn gốc từ một tác phẩm nghệ thuật khác thuộc phạm vi công cộng, thì đủ để tác phẩm nghệ thuật yêu cầu bảo hộ là kết quả của "sự lựa chọn mang tính cá nhân thuộc về hình thức thể hiện ban đầu của tác giả”. Do đó, có vẻ như Tòa án không yêu cầu bất kỳ bằng chứng nào liên quan đến mức độ nguyên gốc. Ngoài ra, Tòa án tối cao cũng nhấn mạnh nguyên tắc bảo vệ quyền sở hữu trí tuệ phát sinh trước. Ngay cả khi nhãn hiệu "Yipinshi" đã được đăng ký và thời gian đăng ký đã vượt quá thời hạn 5 năm về hiệu lực do Luật Nhãn hiệu quy định, chủ sở hữu bản quyền trước đó vẫn có thể cấm sử dụng nhãn hiệu đó.</w:t>
      </w:r>
    </w:p>
    <w:p w14:paraId="2A448001" w14:textId="77777777" w:rsidR="000668DA" w:rsidRPr="000419BB" w:rsidRDefault="000668DA" w:rsidP="000419BB">
      <w:pPr>
        <w:spacing w:after="0" w:line="240" w:lineRule="auto"/>
        <w:jc w:val="both"/>
        <w:rPr>
          <w:rFonts w:ascii="Arial" w:hAnsi="Arial" w:cs="Arial"/>
          <w:sz w:val="20"/>
          <w:szCs w:val="20"/>
        </w:rPr>
      </w:pPr>
    </w:p>
    <w:p w14:paraId="20EF671B" w14:textId="7B9113FB" w:rsidR="000668DA" w:rsidRPr="000419BB" w:rsidRDefault="000668DA" w:rsidP="000419BB">
      <w:pPr>
        <w:pStyle w:val="Heading2"/>
        <w:numPr>
          <w:ilvl w:val="0"/>
          <w:numId w:val="17"/>
        </w:numPr>
        <w:spacing w:before="0"/>
        <w:rPr>
          <w:rFonts w:ascii="Arial" w:eastAsiaTheme="minorEastAsia" w:hAnsi="Arial" w:cs="Arial"/>
          <w:color w:val="538135"/>
          <w:sz w:val="20"/>
          <w:szCs w:val="20"/>
        </w:rPr>
      </w:pPr>
      <w:r w:rsidRPr="000419BB">
        <w:rPr>
          <w:rFonts w:ascii="Arial" w:eastAsiaTheme="minorEastAsia" w:hAnsi="Arial" w:cs="Arial"/>
          <w:color w:val="538135"/>
          <w:sz w:val="20"/>
          <w:szCs w:val="20"/>
        </w:rPr>
        <w:t>Việt Nam có thiết lập chế định để xử lý vấn đề chồng lấn, xung đột các loại quyền trong quyền sở hữu trí tuệ:</w:t>
      </w:r>
    </w:p>
    <w:p w14:paraId="1B5327E4" w14:textId="77777777" w:rsidR="000668DA" w:rsidRPr="000419BB" w:rsidRDefault="000668DA" w:rsidP="000419BB">
      <w:pPr>
        <w:pStyle w:val="ListParagraph"/>
        <w:spacing w:after="0" w:line="240" w:lineRule="auto"/>
        <w:ind w:left="360"/>
        <w:jc w:val="both"/>
        <w:rPr>
          <w:rFonts w:ascii="Arial" w:hAnsi="Arial" w:cs="Arial"/>
          <w:sz w:val="20"/>
          <w:szCs w:val="20"/>
        </w:rPr>
      </w:pPr>
    </w:p>
    <w:p w14:paraId="602E0854" w14:textId="77777777" w:rsidR="000668DA" w:rsidRPr="000419BB" w:rsidRDefault="000668DA" w:rsidP="000419BB">
      <w:pPr>
        <w:pStyle w:val="ListParagraph"/>
        <w:spacing w:after="0" w:line="240" w:lineRule="auto"/>
        <w:ind w:left="360"/>
        <w:jc w:val="both"/>
        <w:rPr>
          <w:rFonts w:ascii="Arial" w:hAnsi="Arial" w:cs="Arial"/>
          <w:sz w:val="20"/>
          <w:szCs w:val="20"/>
        </w:rPr>
      </w:pPr>
      <w:r w:rsidRPr="000419BB">
        <w:rPr>
          <w:rFonts w:ascii="Arial" w:hAnsi="Arial" w:cs="Arial"/>
          <w:sz w:val="20"/>
          <w:szCs w:val="20"/>
        </w:rPr>
        <w:t>Xung đột giữa nhãn hiệu và quyền tác giả diễn ra khá phổ biến tại nhiều khu vực pháp lý trên thế giới. Logo hay tác phẩm mỹ thuật ứng dụng của người này bị các chủ thể đầu cơ đăng ký dưới dạng nhãn hiệu không phải là hiện tượng hiếm gặp.</w:t>
      </w:r>
    </w:p>
    <w:p w14:paraId="610268B0" w14:textId="77777777" w:rsidR="000668DA" w:rsidRPr="000419BB" w:rsidRDefault="000668DA" w:rsidP="000419BB">
      <w:pPr>
        <w:pStyle w:val="ListParagraph"/>
        <w:spacing w:after="0" w:line="240" w:lineRule="auto"/>
        <w:ind w:left="360"/>
        <w:jc w:val="both"/>
        <w:rPr>
          <w:rFonts w:ascii="Arial" w:hAnsi="Arial" w:cs="Arial"/>
          <w:sz w:val="20"/>
          <w:szCs w:val="20"/>
        </w:rPr>
      </w:pPr>
    </w:p>
    <w:p w14:paraId="3477108A" w14:textId="50DFDD29" w:rsidR="000668DA" w:rsidRPr="000419BB" w:rsidRDefault="000668DA" w:rsidP="000419BB">
      <w:pPr>
        <w:pStyle w:val="ListParagraph"/>
        <w:spacing w:after="0" w:line="240" w:lineRule="auto"/>
        <w:ind w:left="360"/>
        <w:jc w:val="both"/>
        <w:rPr>
          <w:rFonts w:ascii="Arial" w:hAnsi="Arial" w:cs="Arial"/>
          <w:sz w:val="20"/>
          <w:szCs w:val="20"/>
        </w:rPr>
      </w:pPr>
      <w:r w:rsidRPr="000419BB">
        <w:rPr>
          <w:rFonts w:ascii="Arial" w:hAnsi="Arial" w:cs="Arial"/>
          <w:sz w:val="20"/>
          <w:szCs w:val="20"/>
        </w:rPr>
        <w:t>Cũng giống như Trung Quốc, Việt Nam cũng áp dụng nguyên tắc “first-to-file” (nguyên tắc nộp đơn đầu tiên) trong xác lập quyền sở hữu trí tuệ đối với nhãn hiệu. Vụ tranh chấp giữa quyền tác giả và nhãn hiệu nêu trên là một minh chứng cho thấy: First-to-file không phải là nguyên tắc tuyệt đối. Suy rộng ra, không phải cứ nộp đơn đăng ký nhãn hiệu sớm nhất, bạn mặc nhiên sẽ là chủ nhãn hiệu. Pháp luật Việt Nam cũng thiết lập nguyên tắc xử lý các xung đột giữa các loại quyền, cụ thể, theo Điều 17 về “Tôn trọng quyền xác lập trước” theo Nghị định 103/2006/NĐ-CP quy định rằng [</w:t>
      </w:r>
      <w:r w:rsidRPr="000419BB">
        <w:rPr>
          <w:rFonts w:ascii="Arial" w:hAnsi="Arial" w:cs="Arial"/>
          <w:b/>
          <w:szCs w:val="24"/>
        </w:rPr>
        <w:t xml:space="preserve">Quyền sở hữu công nghiệp có thể bị hủy bỏ hiệu lực hoặc bị cấm sử dụng nếu </w:t>
      </w:r>
      <w:r w:rsidRPr="000419BB">
        <w:rPr>
          <w:rFonts w:ascii="Arial" w:hAnsi="Arial" w:cs="Arial"/>
          <w:b/>
          <w:szCs w:val="24"/>
          <w:u w:val="single"/>
        </w:rPr>
        <w:t>xung đột</w:t>
      </w:r>
      <w:r w:rsidRPr="000419BB">
        <w:rPr>
          <w:rFonts w:ascii="Arial" w:hAnsi="Arial" w:cs="Arial"/>
          <w:b/>
          <w:szCs w:val="24"/>
        </w:rPr>
        <w:t xml:space="preserve"> với </w:t>
      </w:r>
      <w:r w:rsidRPr="000419BB">
        <w:rPr>
          <w:rFonts w:ascii="Arial" w:hAnsi="Arial" w:cs="Arial"/>
          <w:b/>
          <w:szCs w:val="24"/>
          <w:u w:val="single"/>
        </w:rPr>
        <w:t>quyền sở hữu trí tuệ</w:t>
      </w:r>
      <w:r w:rsidRPr="000419BB">
        <w:rPr>
          <w:rFonts w:ascii="Arial" w:hAnsi="Arial" w:cs="Arial"/>
          <w:b/>
          <w:szCs w:val="24"/>
        </w:rPr>
        <w:t xml:space="preserve"> của tổ chức, cá nhân khác </w:t>
      </w:r>
      <w:r w:rsidRPr="000419BB">
        <w:rPr>
          <w:rFonts w:ascii="Arial" w:hAnsi="Arial" w:cs="Arial"/>
          <w:b/>
          <w:szCs w:val="24"/>
          <w:u w:val="single"/>
        </w:rPr>
        <w:t>được xác lập trước</w:t>
      </w:r>
      <w:r w:rsidRPr="000419BB">
        <w:rPr>
          <w:rFonts w:ascii="Arial" w:hAnsi="Arial" w:cs="Arial"/>
          <w:sz w:val="20"/>
          <w:szCs w:val="20"/>
        </w:rPr>
        <w:t xml:space="preserve">]. Như vậy, nếu có đầy đủ tài liệu, chứng cứ chứng minh quyền đối với tác phẩm được bảo hộ dưới dạng quyền tác giả đã xác lập trước thời điểm nộp đơn đăng ký nhãn hiệu, bạn có thể yêu cầu Cục SHTT Việt Nam hủy bỏ hiệu lực nhãn hiệu đã đăng ký của </w:t>
      </w:r>
      <w:r w:rsidRPr="00A56CB2">
        <w:rPr>
          <w:rFonts w:ascii="Arial" w:hAnsi="Arial" w:cs="Arial"/>
          <w:sz w:val="20"/>
          <w:szCs w:val="20"/>
        </w:rPr>
        <w:t>người khác</w:t>
      </w:r>
      <w:r w:rsidR="004F36A7" w:rsidRPr="00A56CB2">
        <w:rPr>
          <w:rFonts w:ascii="Arial" w:hAnsi="Arial" w:cs="Arial"/>
          <w:sz w:val="20"/>
          <w:szCs w:val="20"/>
        </w:rPr>
        <w:t xml:space="preserve">, </w:t>
      </w:r>
      <w:bookmarkStart w:id="2" w:name="_Hlk109814475"/>
      <w:r w:rsidR="004F36A7" w:rsidRPr="00A56CB2">
        <w:rPr>
          <w:rFonts w:ascii="Arial" w:hAnsi="Arial" w:cs="Arial"/>
          <w:sz w:val="20"/>
          <w:szCs w:val="20"/>
        </w:rPr>
        <w:t>trong trường hợp này, q</w:t>
      </w:r>
      <w:r w:rsidR="004F36A7" w:rsidRPr="00A56CB2">
        <w:rPr>
          <w:rFonts w:ascii="Arial" w:hAnsi="Arial" w:cs="Arial"/>
          <w:sz w:val="20"/>
          <w:szCs w:val="20"/>
        </w:rPr>
        <w:t>uyền tác giả đánh bại quyền nhãn hiệu</w:t>
      </w:r>
      <w:r w:rsidR="004F36A7" w:rsidRPr="00A56CB2">
        <w:rPr>
          <w:rFonts w:ascii="Arial" w:hAnsi="Arial" w:cs="Arial"/>
          <w:sz w:val="20"/>
          <w:szCs w:val="20"/>
        </w:rPr>
        <w:t>.</w:t>
      </w:r>
      <w:bookmarkEnd w:id="2"/>
    </w:p>
    <w:p w14:paraId="56C2477D" w14:textId="77777777" w:rsidR="000668DA" w:rsidRPr="000419BB" w:rsidRDefault="000668DA" w:rsidP="000419BB">
      <w:pPr>
        <w:pStyle w:val="ListParagraph"/>
        <w:spacing w:after="0" w:line="240" w:lineRule="auto"/>
        <w:ind w:left="360"/>
        <w:jc w:val="both"/>
        <w:rPr>
          <w:rFonts w:ascii="Arial" w:hAnsi="Arial" w:cs="Arial"/>
          <w:sz w:val="20"/>
          <w:szCs w:val="20"/>
        </w:rPr>
      </w:pPr>
    </w:p>
    <w:p w14:paraId="763D5994" w14:textId="3456E8EB" w:rsidR="000668DA" w:rsidRPr="000419BB" w:rsidRDefault="000668DA" w:rsidP="000419BB">
      <w:pPr>
        <w:pStyle w:val="Heading2"/>
        <w:numPr>
          <w:ilvl w:val="0"/>
          <w:numId w:val="17"/>
        </w:numPr>
        <w:spacing w:before="0"/>
        <w:rPr>
          <w:rFonts w:ascii="Arial" w:eastAsiaTheme="minorEastAsia" w:hAnsi="Arial" w:cs="Arial"/>
          <w:color w:val="538135"/>
          <w:sz w:val="20"/>
          <w:szCs w:val="20"/>
        </w:rPr>
      </w:pPr>
      <w:r w:rsidRPr="000419BB">
        <w:rPr>
          <w:rFonts w:ascii="Arial" w:eastAsiaTheme="minorEastAsia" w:hAnsi="Arial" w:cs="Arial"/>
          <w:color w:val="538135"/>
          <w:sz w:val="20"/>
          <w:szCs w:val="20"/>
        </w:rPr>
        <w:t>Nếu có thể, chiến lược tối ưu là: Đăng ký logo của bản dưới dạng nhãn hiệu và quyền tác giả tại Việt Nam:</w:t>
      </w:r>
    </w:p>
    <w:p w14:paraId="2AA2746F" w14:textId="77777777" w:rsidR="000668DA" w:rsidRPr="000419BB" w:rsidRDefault="000668DA" w:rsidP="000419BB">
      <w:pPr>
        <w:pStyle w:val="ListParagraph"/>
        <w:spacing w:after="0" w:line="240" w:lineRule="auto"/>
        <w:ind w:left="360"/>
        <w:jc w:val="both"/>
        <w:rPr>
          <w:rFonts w:ascii="Arial" w:hAnsi="Arial" w:cs="Arial"/>
          <w:sz w:val="20"/>
          <w:szCs w:val="20"/>
        </w:rPr>
      </w:pPr>
    </w:p>
    <w:p w14:paraId="35598EEE" w14:textId="588C1B96" w:rsidR="000668DA" w:rsidRPr="000419BB" w:rsidRDefault="000668DA" w:rsidP="000419BB">
      <w:pPr>
        <w:pStyle w:val="ListParagraph"/>
        <w:spacing w:after="0" w:line="240" w:lineRule="auto"/>
        <w:ind w:left="360"/>
        <w:jc w:val="both"/>
        <w:rPr>
          <w:rFonts w:ascii="Arial" w:hAnsi="Arial" w:cs="Arial"/>
          <w:sz w:val="20"/>
          <w:szCs w:val="20"/>
        </w:rPr>
      </w:pPr>
      <w:r w:rsidRPr="000419BB">
        <w:rPr>
          <w:rFonts w:ascii="Arial" w:hAnsi="Arial" w:cs="Arial"/>
          <w:sz w:val="20"/>
          <w:szCs w:val="20"/>
        </w:rPr>
        <w:t xml:space="preserve">Một dấu hiệu/logo có thể cùng lúc đáp ứng tiêu chuẩn bảo hộ của nhãn hiệu và quyền tác giả tại Việt Nam. Do đó, </w:t>
      </w:r>
      <w:r w:rsidRPr="000419BB">
        <w:rPr>
          <w:rFonts w:ascii="Arial" w:hAnsi="Arial" w:cs="Arial"/>
          <w:b/>
          <w:bCs/>
          <w:sz w:val="20"/>
          <w:szCs w:val="20"/>
        </w:rPr>
        <w:t>bên cạnh việc đăng ký nhãn hiệu</w:t>
      </w:r>
      <w:r w:rsidRPr="000419BB">
        <w:rPr>
          <w:rFonts w:ascii="Arial" w:hAnsi="Arial" w:cs="Arial"/>
          <w:sz w:val="20"/>
          <w:szCs w:val="20"/>
        </w:rPr>
        <w:t xml:space="preserve">, chủ thể quyền SHTT </w:t>
      </w:r>
      <w:r w:rsidRPr="000419BB">
        <w:rPr>
          <w:rFonts w:ascii="Arial" w:hAnsi="Arial" w:cs="Arial"/>
          <w:b/>
          <w:bCs/>
          <w:sz w:val="20"/>
          <w:szCs w:val="20"/>
        </w:rPr>
        <w:t xml:space="preserve">nên cân nhắc đăng ký logo </w:t>
      </w:r>
      <w:r w:rsidR="00FF42CF">
        <w:rPr>
          <w:rFonts w:ascii="Arial" w:hAnsi="Arial" w:cs="Arial"/>
          <w:b/>
          <w:bCs/>
          <w:noProof/>
          <w:sz w:val="20"/>
          <w:szCs w:val="20"/>
        </w:rPr>
        <w:pict w14:anchorId="37D7DEC9">
          <v:rect id="_x0000_s1092" style="position:absolute;left:0;text-align:left;margin-left:502.2pt;margin-top:-16.7pt;width:26.1pt;height:811.8pt;z-index:25168076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" fillcolor="#00b39c" strokecolor="#00b39c" strokeweight="2pt">
            <v:textbox style="layout-flow:vertical;mso-next-textbox:#_x0000_s1092" inset="0,0,0,0">
              <w:txbxContent>
                <w:p w14:paraId="518DB795" w14:textId="77777777" w:rsidR="00FF42CF" w:rsidRPr="00435C47" w:rsidRDefault="00FF42CF" w:rsidP="00FF42CF">
                  <w:pPr>
                    <w:spacing w:after="0" w:line="240" w:lineRule="auto"/>
                    <w:rPr>
                      <w:rFonts w:ascii="Arial" w:hAnsi="Arial" w:cs="Arial"/>
                      <w:b/>
                      <w:color w:val="FFFFFF" w:themeColor="background1"/>
                      <w:sz w:val="22"/>
                    </w:rPr>
                  </w:pPr>
                  <w:r>
                    <w:rPr>
                      <w:b/>
                      <w:color w:val="FFFFFF" w:themeColor="background1"/>
                      <w:sz w:val="22"/>
                    </w:rPr>
                    <w:t xml:space="preserve">          </w:t>
                  </w:r>
                  <w:r w:rsidRPr="00BE315D">
                    <w:rPr>
                      <w:rFonts w:ascii="Arial" w:hAnsi="Arial" w:cs="Arial"/>
                      <w:b/>
                      <w:color w:val="FFFFFF" w:themeColor="background1"/>
                      <w:sz w:val="22"/>
                    </w:rPr>
                    <w:t>Xung đột giữa nhãn hiệu và quyền tác giả - xử lý thế nào?</w:t>
                  </w:r>
                </w:p>
              </w:txbxContent>
            </v:textbox>
          </v:rect>
        </w:pict>
      </w:r>
      <w:r w:rsidRPr="000419BB">
        <w:rPr>
          <w:rFonts w:ascii="Arial" w:hAnsi="Arial" w:cs="Arial"/>
          <w:b/>
          <w:bCs/>
          <w:sz w:val="20"/>
          <w:szCs w:val="20"/>
        </w:rPr>
        <w:t>của mình dưới dạng tác phẩm mỹ thuật ứng dụng tại Việt Nam</w:t>
      </w:r>
      <w:r w:rsidRPr="000419BB">
        <w:rPr>
          <w:rFonts w:ascii="Arial" w:hAnsi="Arial" w:cs="Arial"/>
          <w:sz w:val="20"/>
          <w:szCs w:val="20"/>
        </w:rPr>
        <w:t>. Thủ tục đăng ký quyền tác giả rất đơn giản, nhanh chóng. Khi được cấp Giấy chứng nhận quyền tác giả, bạn sẽ có quyền độc quyền sử dụng logo đó, yêu cầu sự can thiệp từ cơ quan nhà nước có thẩm quyền khi phát hiện bên thứ ba sử dụng logo tương tự với logo đã đăng ký của bạn.</w:t>
      </w:r>
    </w:p>
    <w:p w14:paraId="47CD1AAD" w14:textId="77777777" w:rsidR="000668DA" w:rsidRPr="000419BB" w:rsidRDefault="000668DA" w:rsidP="000419BB">
      <w:pPr>
        <w:pStyle w:val="ListParagraph"/>
        <w:spacing w:after="0" w:line="240" w:lineRule="auto"/>
        <w:ind w:left="360" w:hanging="270"/>
        <w:rPr>
          <w:rFonts w:ascii="Arial" w:hAnsi="Arial" w:cs="Arial"/>
          <w:sz w:val="20"/>
          <w:szCs w:val="20"/>
        </w:rPr>
      </w:pPr>
    </w:p>
    <w:p w14:paraId="22852D00" w14:textId="3B9ADFF1" w:rsidR="000668DA" w:rsidRPr="000419BB" w:rsidRDefault="000668DA" w:rsidP="000419BB">
      <w:pPr>
        <w:pStyle w:val="Heading2"/>
        <w:numPr>
          <w:ilvl w:val="0"/>
          <w:numId w:val="17"/>
        </w:numPr>
        <w:spacing w:before="0"/>
        <w:rPr>
          <w:rFonts w:ascii="Arial" w:eastAsiaTheme="minorEastAsia" w:hAnsi="Arial" w:cs="Arial"/>
          <w:color w:val="538135"/>
          <w:sz w:val="20"/>
          <w:szCs w:val="20"/>
        </w:rPr>
      </w:pPr>
      <w:r w:rsidRPr="000419BB">
        <w:rPr>
          <w:rFonts w:ascii="Arial" w:eastAsiaTheme="minorEastAsia" w:hAnsi="Arial" w:cs="Arial"/>
          <w:color w:val="538135"/>
          <w:sz w:val="20"/>
          <w:szCs w:val="20"/>
        </w:rPr>
        <w:t>Thực thi tốt hơn nếu bạn có Giấy chứng nhận đăng ký quyền tác giả:</w:t>
      </w:r>
    </w:p>
    <w:p w14:paraId="6A1C1DC8" w14:textId="77777777" w:rsidR="000668DA" w:rsidRPr="000419BB" w:rsidRDefault="000668DA" w:rsidP="000419BB">
      <w:pPr>
        <w:pStyle w:val="ListParagraph"/>
        <w:spacing w:after="0" w:line="240" w:lineRule="auto"/>
        <w:ind w:left="360"/>
        <w:jc w:val="both"/>
        <w:rPr>
          <w:rFonts w:ascii="Arial" w:hAnsi="Arial" w:cs="Arial"/>
          <w:sz w:val="20"/>
          <w:szCs w:val="20"/>
        </w:rPr>
      </w:pPr>
    </w:p>
    <w:p w14:paraId="53AF781E" w14:textId="77777777" w:rsidR="000668DA" w:rsidRPr="000419BB" w:rsidRDefault="000668DA" w:rsidP="000419BB">
      <w:pPr>
        <w:pStyle w:val="ListParagraph"/>
        <w:spacing w:after="0" w:line="240" w:lineRule="auto"/>
        <w:ind w:left="360"/>
        <w:jc w:val="both"/>
        <w:rPr>
          <w:rFonts w:ascii="Arial" w:hAnsi="Arial" w:cs="Arial"/>
          <w:sz w:val="20"/>
          <w:szCs w:val="20"/>
        </w:rPr>
      </w:pPr>
      <w:r w:rsidRPr="000419BB">
        <w:rPr>
          <w:rFonts w:ascii="Arial" w:hAnsi="Arial" w:cs="Arial"/>
          <w:sz w:val="20"/>
          <w:szCs w:val="20"/>
        </w:rPr>
        <w:t>Giấy chứng nhận đăng ký quyền tác giả có thể được được sử dụng làm căn cứ pháp lý để yêu cầu giám định xâm phạm tại Trung tâm giám định quyền tác giả - quyền liên quan – một cơ quan chuyên cung cấp ý kiến chuyên môn/kết luận giám định về xâm phạm quyền tác giả, quyền liên quan thuộc Bộ Văn hóa – Thể Thao và Du lịch. Nếu bạn có Kết luận giám định của Trung tâm giám định quyền tác giả - quyền liên quan khẳng định bên thứ ba xâm phạm quyền tác giả, đơn yêu cầu xử lý xâm phạm của bạn gửi tới Cơ quan thực thi của Việt Nam có khả năng cao được chấp nhận thụ lý giải quyết.</w:t>
      </w:r>
    </w:p>
    <w:p w14:paraId="0D9FF769" w14:textId="77777777" w:rsidR="000668DA" w:rsidRPr="000419BB" w:rsidRDefault="000668DA" w:rsidP="000419BB">
      <w:pPr>
        <w:pStyle w:val="ListParagraph"/>
        <w:spacing w:after="0" w:line="240" w:lineRule="auto"/>
        <w:rPr>
          <w:rFonts w:ascii="Arial" w:hAnsi="Arial" w:cs="Arial"/>
          <w:sz w:val="20"/>
          <w:szCs w:val="20"/>
        </w:rPr>
      </w:pPr>
    </w:p>
    <w:p w14:paraId="4CE328D2" w14:textId="287F1974" w:rsidR="000668DA" w:rsidRPr="000419BB" w:rsidRDefault="000668DA" w:rsidP="000419BB">
      <w:pPr>
        <w:pStyle w:val="Heading2"/>
        <w:numPr>
          <w:ilvl w:val="0"/>
          <w:numId w:val="17"/>
        </w:numPr>
        <w:spacing w:before="0"/>
        <w:rPr>
          <w:rFonts w:ascii="Arial" w:eastAsiaTheme="minorEastAsia" w:hAnsi="Arial" w:cs="Arial"/>
          <w:color w:val="538135"/>
          <w:sz w:val="20"/>
          <w:szCs w:val="20"/>
        </w:rPr>
      </w:pPr>
      <w:r w:rsidRPr="000419BB">
        <w:rPr>
          <w:rFonts w:ascii="Arial" w:eastAsiaTheme="minorEastAsia" w:hAnsi="Arial" w:cs="Arial"/>
          <w:color w:val="538135"/>
          <w:sz w:val="20"/>
          <w:szCs w:val="20"/>
        </w:rPr>
        <w:t>Vì sao nên đăng ký quyền tác giả?</w:t>
      </w:r>
    </w:p>
    <w:p w14:paraId="373CF820" w14:textId="1C74CC41" w:rsidR="000668DA" w:rsidRPr="000419BB" w:rsidRDefault="000668DA" w:rsidP="00A56CB2">
      <w:pPr>
        <w:spacing w:after="0" w:line="240" w:lineRule="auto"/>
        <w:ind w:left="360"/>
        <w:jc w:val="both"/>
        <w:rPr>
          <w:rStyle w:val="fontstyle01"/>
          <w:rFonts w:ascii="Arial" w:hAnsi="Arial" w:cs="Arial"/>
          <w:sz w:val="20"/>
          <w:szCs w:val="20"/>
        </w:rPr>
      </w:pPr>
      <w:r w:rsidRPr="000419BB">
        <w:rPr>
          <w:rFonts w:ascii="Arial" w:hAnsi="Arial" w:cs="Arial"/>
          <w:sz w:val="20"/>
          <w:szCs w:val="20"/>
        </w:rPr>
        <w:t xml:space="preserve">Lợi ích của việc đăng ký bảo hộ quyền tác giả tại Việt Nam là không thể phủ nhận. </w:t>
      </w:r>
      <w:r w:rsidR="00A56CB2" w:rsidRPr="00A56CB2">
        <w:rPr>
          <w:rFonts w:ascii="Arial" w:hAnsi="Arial" w:cs="Arial"/>
          <w:sz w:val="20"/>
          <w:szCs w:val="20"/>
        </w:rPr>
        <w:t>Bạn có thể tham khảo bài viết của chúng tôi để biết quyền tác giả đánh bại quyền nhãn hiệu trong trường hợp nào, với</w:t>
      </w:r>
      <w:r w:rsidR="00A56CB2" w:rsidRPr="000419BB">
        <w:rPr>
          <w:rFonts w:ascii="Arial" w:hAnsi="Arial" w:cs="Arial"/>
          <w:sz w:val="20"/>
          <w:szCs w:val="20"/>
        </w:rPr>
        <w:t xml:space="preserve"> tiêu đề “</w:t>
      </w:r>
      <w:r w:rsidR="00A56CB2" w:rsidRPr="000419BB">
        <w:rPr>
          <w:rFonts w:ascii="Arial" w:hAnsi="Arial" w:cs="Arial"/>
          <w:b/>
          <w:bCs/>
          <w:sz w:val="20"/>
          <w:szCs w:val="20"/>
        </w:rPr>
        <w:t>Quyền tác giả - Vũ khí công hiệu trong ngăn chặn xâm phạm nhãn hiệu và kiểu dáng công nghiệp tại Việt Nam</w:t>
      </w:r>
      <w:r w:rsidR="00A56CB2" w:rsidRPr="000419BB">
        <w:rPr>
          <w:rFonts w:ascii="Arial" w:hAnsi="Arial" w:cs="Arial"/>
          <w:sz w:val="20"/>
          <w:szCs w:val="20"/>
        </w:rPr>
        <w:t xml:space="preserve">”: </w:t>
      </w:r>
      <w:hyperlink r:id="rId8" w:history="1">
        <w:r w:rsidR="00A56CB2" w:rsidRPr="000419BB">
          <w:rPr>
            <w:rStyle w:val="Hyperlink"/>
            <w:rFonts w:ascii="Arial" w:hAnsi="Arial" w:cs="Arial"/>
            <w:sz w:val="20"/>
            <w:szCs w:val="20"/>
          </w:rPr>
          <w:t>https://kenfoxlaw.com/quyen-tac-gia-vu-khi-cong-hieu-trong-ngan-chan-xam-pham-nhan-hieu-va-kieu-dang-cong-nghiep-tai-viet-nam</w:t>
        </w:r>
      </w:hyperlink>
    </w:p>
    <w:p w14:paraId="791F23E2" w14:textId="77777777" w:rsidR="000419BB" w:rsidRPr="000419BB" w:rsidRDefault="000419BB" w:rsidP="000419BB">
      <w:pPr>
        <w:spacing w:after="0" w:line="240" w:lineRule="auto"/>
        <w:jc w:val="both"/>
        <w:rPr>
          <w:rFonts w:ascii="Arial" w:hAnsi="Arial" w:cs="Arial"/>
        </w:rPr>
      </w:pPr>
    </w:p>
    <w:p w14:paraId="413E97A8" w14:textId="3D5175C0" w:rsidR="00EF21C2" w:rsidRPr="000419BB" w:rsidRDefault="006C1E7E" w:rsidP="000419BB">
      <w:pPr>
        <w:spacing w:after="0" w:line="240" w:lineRule="auto"/>
        <w:jc w:val="both"/>
        <w:rPr>
          <w:rFonts w:ascii="Arial" w:hAnsi="Arial" w:cs="Arial"/>
          <w:sz w:val="20"/>
          <w:szCs w:val="20"/>
        </w:rPr>
      </w:pPr>
      <w:hyperlink r:id="rId9" w:tgtFrame="_blank" w:history="1">
        <w:r w:rsidR="002312BA" w:rsidRPr="000419BB">
          <w:rPr>
            <w:rStyle w:val="Hyperlink"/>
            <w:rFonts w:ascii="Arial" w:hAnsi="Arial" w:cs="Arial"/>
            <w:b/>
            <w:bCs/>
            <w:i/>
            <w:iCs/>
            <w:color w:val="C00000"/>
            <w:sz w:val="20"/>
            <w:szCs w:val="20"/>
          </w:rPr>
          <w:t>KENFOX IP &amp; LAW OFFICE</w:t>
        </w:r>
      </w:hyperlink>
      <w:r w:rsidR="002312BA" w:rsidRPr="000419BB">
        <w:rPr>
          <w:rStyle w:val="fontstyle01"/>
          <w:rFonts w:ascii="Arial" w:hAnsi="Arial" w:cs="Arial"/>
          <w:color w:val="auto"/>
          <w:sz w:val="20"/>
          <w:szCs w:val="20"/>
        </w:rPr>
        <w:t>, 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 Vui lòng liên hệ với chúng tôi nếu bạn quan tâm đến việc bảo vệ quyền SHTT tại các khu vực pháp lý nêu trên.</w:t>
      </w:r>
    </w:p>
    <w:p w14:paraId="194CF175" w14:textId="77777777" w:rsidR="00653E7B" w:rsidRPr="00605447" w:rsidRDefault="006C1E7E" w:rsidP="00CF01F1">
      <w:pPr>
        <w:spacing w:after="0" w:line="240" w:lineRule="auto"/>
        <w:jc w:val="both"/>
        <w:rPr>
          <w:rFonts w:ascii="Arial" w:hAnsi="Arial" w:cs="Arial"/>
          <w:sz w:val="20"/>
          <w:szCs w:val="20"/>
        </w:rPr>
      </w:pPr>
      <w:r>
        <w:rPr>
          <w:noProof/>
        </w:rPr>
        <w:pict w14:anchorId="371130FF">
          <v:rect id="Rectangle 48" o:spid="_x0000_s1054" style="position:absolute;left:0;text-align:left;margin-left:2.55pt;margin-top:18.35pt;width:270.75pt;height:80.2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" fillcolor="#d8d8d8 [2732]" strokecolor="#fabf8f [1945]">
            <v:textbox style="mso-next-textbox:#Rectangle 48">
              <w:txbxContent>
                <w:p w14:paraId="6FC62D26" w14:textId="77777777" w:rsidR="00FC4D5B" w:rsidRPr="00C52556" w:rsidRDefault="00FC4D5B" w:rsidP="00653E7B">
                  <w:pPr>
                    <w:spacing w:after="0" w:line="240" w:lineRule="auto"/>
                    <w:ind w:left="142"/>
                    <w:rPr>
                      <w:rFonts w:ascii="Arial" w:hAnsi="Arial" w:cs="Arial"/>
                      <w:b/>
                      <w:color w:val="4F81BD" w:themeColor="accent1"/>
                    </w:rPr>
                  </w:pPr>
                  <w:r w:rsidRPr="00C52556">
                    <w:rPr>
                      <w:rFonts w:ascii="Arial" w:hAnsi="Arial" w:cs="Arial"/>
                      <w:b/>
                      <w:color w:val="4F81BD" w:themeColor="accent1"/>
                    </w:rPr>
                    <w:t>Contact</w:t>
                  </w:r>
                </w:p>
                <w:p w14:paraId="20BF0816" w14:textId="77777777" w:rsidR="00FC4D5B" w:rsidRPr="008D383A" w:rsidRDefault="00FC4D5B" w:rsidP="00653E7B">
                  <w:pPr>
                    <w:spacing w:after="0" w:line="240" w:lineRule="auto"/>
                    <w:ind w:left="142"/>
                    <w:rPr>
                      <w:rFonts w:ascii="Arial" w:hAnsi="Arial" w:cs="Arial"/>
                      <w:b/>
                      <w:sz w:val="20"/>
                      <w:szCs w:val="20"/>
                    </w:rPr>
                  </w:pPr>
                  <w:r w:rsidRPr="008D383A">
                    <w:rPr>
                      <w:rFonts w:ascii="Arial" w:hAnsi="Arial" w:cs="Arial"/>
                      <w:b/>
                      <w:sz w:val="20"/>
                      <w:szCs w:val="20"/>
                    </w:rPr>
                    <w:t>KENFOX IP &amp; Law Office</w:t>
                  </w:r>
                </w:p>
                <w:p w14:paraId="5BA60271" w14:textId="77777777" w:rsidR="00FC4D5B" w:rsidRPr="00B31724" w:rsidRDefault="00FC4D5B" w:rsidP="00653E7B">
                  <w:pPr>
                    <w:spacing w:after="0"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0AB889B6" w14:textId="77777777" w:rsidR="00FC4D5B" w:rsidRPr="00FF333E" w:rsidRDefault="00FC4D5B" w:rsidP="00653E7B">
                  <w:pPr>
                    <w:spacing w:after="0" w:line="240" w:lineRule="auto"/>
                    <w:ind w:left="142"/>
                    <w:rPr>
                      <w:rFonts w:ascii="Arial" w:hAnsi="Arial" w:cs="Arial"/>
                      <w:sz w:val="20"/>
                      <w:szCs w:val="20"/>
                    </w:rPr>
                  </w:pPr>
                  <w:r w:rsidRPr="00C52556">
                    <w:rPr>
                      <w:rFonts w:ascii="Arial" w:hAnsi="Arial" w:cs="Arial"/>
                      <w:b/>
                      <w:i/>
                      <w:color w:val="4F81BD" w:themeColor="accent1"/>
                      <w:sz w:val="20"/>
                      <w:szCs w:val="20"/>
                    </w:rPr>
                    <w:t>Tel:</w:t>
                  </w:r>
                  <w:r w:rsidRPr="00C52556">
                    <w:rPr>
                      <w:rFonts w:ascii="Arial" w:hAnsi="Arial" w:cs="Arial"/>
                      <w:color w:val="4F81BD" w:themeColor="accent1"/>
                      <w:sz w:val="20"/>
                      <w:szCs w:val="20"/>
                    </w:rPr>
                    <w:t xml:space="preserve"> </w:t>
                  </w:r>
                  <w:r w:rsidRPr="00B31724">
                    <w:rPr>
                      <w:rFonts w:ascii="Arial" w:hAnsi="Arial" w:cs="Arial"/>
                      <w:sz w:val="20"/>
                      <w:szCs w:val="20"/>
                    </w:rPr>
                    <w:t>+84 24 3724 5656</w:t>
                  </w:r>
                </w:p>
                <w:p w14:paraId="6487CABB" w14:textId="77777777" w:rsidR="00FC4D5B" w:rsidRPr="00B31724" w:rsidRDefault="00FC4D5B" w:rsidP="00653E7B">
                  <w:pPr>
                    <w:ind w:left="142"/>
                    <w:rPr>
                      <w:rFonts w:ascii="Arial" w:hAnsi="Arial" w:cs="Arial"/>
                      <w:b/>
                      <w:sz w:val="20"/>
                      <w:szCs w:val="20"/>
                    </w:rPr>
                  </w:pPr>
                  <w:r w:rsidRPr="00C52556">
                    <w:rPr>
                      <w:rFonts w:ascii="Arial" w:hAnsi="Arial" w:cs="Arial"/>
                      <w:b/>
                      <w:i/>
                      <w:color w:val="4F81BD" w:themeColor="accent1"/>
                      <w:sz w:val="20"/>
                      <w:szCs w:val="20"/>
                    </w:rPr>
                    <w:t>Email:</w:t>
                  </w:r>
                  <w:r w:rsidRPr="00C52556">
                    <w:rPr>
                      <w:rFonts w:ascii="Arial" w:hAnsi="Arial" w:cs="Arial"/>
                      <w:color w:val="4F81BD" w:themeColor="accent1"/>
                      <w:sz w:val="20"/>
                      <w:szCs w:val="20"/>
                    </w:rPr>
                    <w:t xml:space="preserve"> </w:t>
                  </w:r>
                  <w:r w:rsidRPr="00B31724">
                    <w:rPr>
                      <w:rFonts w:ascii="Arial" w:hAnsi="Arial" w:cs="Arial"/>
                      <w:sz w:val="20"/>
                      <w:szCs w:val="20"/>
                    </w:rPr>
                    <w:t>info@kenfoxlaw.com / kenfox@kenfoxlaw.com</w:t>
                  </w:r>
                </w:p>
              </w:txbxContent>
            </v:textbox>
          </v:rect>
        </w:pict>
      </w:r>
      <w:bookmarkEnd w:id="0"/>
    </w:p>
    <w:sectPr w:rsidR="00653E7B" w:rsidRPr="00605447" w:rsidSect="002312BA">
      <w:footerReference w:type="default" r:id="rId10"/>
      <w:pgSz w:w="11906" w:h="16838" w:code="9"/>
      <w:pgMar w:top="1134" w:right="1134" w:bottom="851"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ED95" w14:textId="77777777" w:rsidR="00FC4D5B" w:rsidRDefault="00FC4D5B" w:rsidP="00EF21C2">
      <w:pPr>
        <w:spacing w:after="0" w:line="240" w:lineRule="auto"/>
      </w:pPr>
      <w:r>
        <w:separator/>
      </w:r>
    </w:p>
  </w:endnote>
  <w:endnote w:type="continuationSeparator" w:id="0">
    <w:p w14:paraId="6967FFF3" w14:textId="77777777" w:rsidR="00FC4D5B" w:rsidRDefault="00FC4D5B" w:rsidP="00EF2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20000001" w:usb1="00000000" w:usb2="00000000" w:usb3="00000000" w:csb0="000001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color w:val="1F497D"/>
        <w:sz w:val="20"/>
        <w:szCs w:val="20"/>
      </w:rPr>
      <w:id w:val="-1323343714"/>
      <w:docPartObj>
        <w:docPartGallery w:val="Page Numbers (Bottom of Page)"/>
        <w:docPartUnique/>
      </w:docPartObj>
    </w:sdtPr>
    <w:sdtEndPr/>
    <w:sdtContent>
      <w:sdt>
        <w:sdtPr>
          <w:rPr>
            <w:rFonts w:ascii="Arial" w:hAnsi="Arial" w:cs="Arial"/>
            <w:b/>
            <w:color w:val="1F497D"/>
            <w:sz w:val="20"/>
            <w:szCs w:val="20"/>
          </w:rPr>
          <w:id w:val="860082579"/>
          <w:docPartObj>
            <w:docPartGallery w:val="Page Numbers (Top of Page)"/>
            <w:docPartUnique/>
          </w:docPartObj>
        </w:sdtPr>
        <w:sdtEndPr/>
        <w:sdtContent>
          <w:p w14:paraId="1CB6197D" w14:textId="77777777" w:rsidR="00FC4D5B" w:rsidRDefault="00FC4D5B" w:rsidP="00EF21C2">
            <w:pPr>
              <w:rPr>
                <w:rFonts w:ascii="Arial" w:hAnsi="Arial" w:cs="Arial"/>
                <w:b/>
                <w:color w:val="1F497D"/>
                <w:sz w:val="20"/>
                <w:szCs w:val="20"/>
              </w:rPr>
            </w:pPr>
          </w:p>
          <w:p w14:paraId="10FC8790" w14:textId="28D35AF3" w:rsidR="00FC4D5B" w:rsidRPr="00EF21C2" w:rsidRDefault="00FC4D5B" w:rsidP="00EF21C2">
            <w:pPr>
              <w:rPr>
                <w:rFonts w:ascii="Arial" w:hAnsi="Arial" w:cs="Arial"/>
                <w:b/>
                <w:noProof/>
                <w:color w:val="1F497D"/>
                <w:sz w:val="20"/>
                <w:szCs w:val="20"/>
              </w:rPr>
            </w:pPr>
            <w:r w:rsidRPr="00EF21C2">
              <w:rPr>
                <w:rFonts w:ascii="Arial" w:hAnsi="Arial" w:cs="Arial"/>
                <w:b/>
                <w:color w:val="1F497D"/>
                <w:sz w:val="20"/>
                <w:szCs w:val="20"/>
              </w:rPr>
              <w:t xml:space="preserve"> </w:t>
            </w:r>
            <w:hyperlink r:id="rId1" w:history="1">
              <w:r w:rsidRPr="00EF21C2">
                <w:rPr>
                  <w:rStyle w:val="Hyperlink"/>
                  <w:rFonts w:ascii="Arial" w:hAnsi="Arial" w:cs="Arial"/>
                  <w:b/>
                  <w:noProof/>
                  <w:color w:val="1F497D"/>
                  <w:sz w:val="20"/>
                  <w:szCs w:val="20"/>
                  <w:u w:val="none"/>
                </w:rPr>
                <w:t>www.kenfoxlaw.com</w:t>
              </w:r>
            </w:hyperlink>
            <w:r w:rsidRPr="00EF21C2">
              <w:rPr>
                <w:rFonts w:ascii="Arial" w:hAnsi="Arial" w:cs="Arial"/>
                <w:b/>
                <w:noProof/>
                <w:color w:val="1F497D"/>
                <w:sz w:val="20"/>
                <w:szCs w:val="20"/>
              </w:rPr>
              <w:t xml:space="preserve">                                                                                       </w:t>
            </w:r>
            <w:r>
              <w:rPr>
                <w:rFonts w:ascii="Arial" w:hAnsi="Arial" w:cs="Arial"/>
                <w:b/>
                <w:noProof/>
                <w:color w:val="1F497D"/>
                <w:sz w:val="20"/>
                <w:szCs w:val="20"/>
              </w:rPr>
              <w:t xml:space="preserve">                            </w:t>
            </w:r>
            <w:r w:rsidR="002312BA">
              <w:rPr>
                <w:rFonts w:ascii="Arial" w:hAnsi="Arial" w:cs="Arial"/>
                <w:b/>
                <w:noProof/>
                <w:color w:val="1F497D"/>
                <w:sz w:val="20"/>
                <w:szCs w:val="20"/>
              </w:rPr>
              <w:t xml:space="preserve">  </w:t>
            </w:r>
            <w:r w:rsidRPr="00EF21C2">
              <w:rPr>
                <w:rFonts w:ascii="Arial" w:hAnsi="Arial" w:cs="Arial"/>
                <w:b/>
                <w:color w:val="1F497D"/>
                <w:sz w:val="20"/>
                <w:szCs w:val="20"/>
              </w:rPr>
              <w:t xml:space="preserve">Page </w:t>
            </w:r>
            <w:r w:rsidRPr="00EF21C2">
              <w:rPr>
                <w:rFonts w:ascii="Arial" w:hAnsi="Arial" w:cs="Arial"/>
                <w:b/>
                <w:bCs/>
                <w:color w:val="1F497D"/>
                <w:sz w:val="20"/>
                <w:szCs w:val="20"/>
              </w:rPr>
              <w:fldChar w:fldCharType="begin"/>
            </w:r>
            <w:r w:rsidRPr="00EF21C2">
              <w:rPr>
                <w:rFonts w:ascii="Arial" w:hAnsi="Arial" w:cs="Arial"/>
                <w:b/>
                <w:bCs/>
                <w:color w:val="1F497D"/>
                <w:sz w:val="20"/>
                <w:szCs w:val="20"/>
              </w:rPr>
              <w:instrText xml:space="preserve"> PAGE </w:instrText>
            </w:r>
            <w:r w:rsidRPr="00EF21C2">
              <w:rPr>
                <w:rFonts w:ascii="Arial" w:hAnsi="Arial" w:cs="Arial"/>
                <w:b/>
                <w:bCs/>
                <w:color w:val="1F497D"/>
                <w:sz w:val="20"/>
                <w:szCs w:val="20"/>
              </w:rPr>
              <w:fldChar w:fldCharType="separate"/>
            </w:r>
            <w:r w:rsidR="001C76EF">
              <w:rPr>
                <w:rFonts w:ascii="Arial" w:hAnsi="Arial" w:cs="Arial"/>
                <w:b/>
                <w:bCs/>
                <w:noProof/>
                <w:color w:val="1F497D"/>
                <w:sz w:val="20"/>
                <w:szCs w:val="20"/>
              </w:rPr>
              <w:t>1</w:t>
            </w:r>
            <w:r w:rsidRPr="00EF21C2">
              <w:rPr>
                <w:rFonts w:ascii="Arial" w:hAnsi="Arial" w:cs="Arial"/>
                <w:b/>
                <w:bCs/>
                <w:color w:val="1F497D"/>
                <w:sz w:val="20"/>
                <w:szCs w:val="20"/>
              </w:rPr>
              <w:fldChar w:fldCharType="end"/>
            </w:r>
            <w:r w:rsidRPr="00EF21C2">
              <w:rPr>
                <w:rFonts w:ascii="Arial" w:hAnsi="Arial" w:cs="Arial"/>
                <w:b/>
                <w:color w:val="1F497D"/>
                <w:sz w:val="20"/>
                <w:szCs w:val="20"/>
              </w:rPr>
              <w:t xml:space="preserve"> of </w:t>
            </w:r>
            <w:r w:rsidRPr="00EF21C2">
              <w:rPr>
                <w:rFonts w:ascii="Arial" w:hAnsi="Arial" w:cs="Arial"/>
                <w:b/>
                <w:bCs/>
                <w:color w:val="1F497D"/>
                <w:sz w:val="20"/>
                <w:szCs w:val="20"/>
              </w:rPr>
              <w:fldChar w:fldCharType="begin"/>
            </w:r>
            <w:r w:rsidRPr="00EF21C2">
              <w:rPr>
                <w:rFonts w:ascii="Arial" w:hAnsi="Arial" w:cs="Arial"/>
                <w:b/>
                <w:bCs/>
                <w:color w:val="1F497D"/>
                <w:sz w:val="20"/>
                <w:szCs w:val="20"/>
              </w:rPr>
              <w:instrText xml:space="preserve"> NUMPAGES  </w:instrText>
            </w:r>
            <w:r w:rsidRPr="00EF21C2">
              <w:rPr>
                <w:rFonts w:ascii="Arial" w:hAnsi="Arial" w:cs="Arial"/>
                <w:b/>
                <w:bCs/>
                <w:color w:val="1F497D"/>
                <w:sz w:val="20"/>
                <w:szCs w:val="20"/>
              </w:rPr>
              <w:fldChar w:fldCharType="separate"/>
            </w:r>
            <w:r w:rsidR="001C76EF">
              <w:rPr>
                <w:rFonts w:ascii="Arial" w:hAnsi="Arial" w:cs="Arial"/>
                <w:b/>
                <w:bCs/>
                <w:noProof/>
                <w:color w:val="1F497D"/>
                <w:sz w:val="20"/>
                <w:szCs w:val="20"/>
              </w:rPr>
              <w:t>3</w:t>
            </w:r>
            <w:r w:rsidRPr="00EF21C2">
              <w:rPr>
                <w:rFonts w:ascii="Arial" w:hAnsi="Arial" w:cs="Arial"/>
                <w:b/>
                <w:bCs/>
                <w:color w:val="1F497D"/>
                <w:sz w:val="20"/>
                <w:szCs w:val="20"/>
              </w:rPr>
              <w:fldChar w:fldCharType="end"/>
            </w:r>
          </w:p>
        </w:sdtContent>
      </w:sdt>
    </w:sdtContent>
  </w:sdt>
  <w:p w14:paraId="42E946CD" w14:textId="77777777" w:rsidR="00FC4D5B" w:rsidRPr="00EF21C2" w:rsidRDefault="00FC4D5B">
    <w:pPr>
      <w:pStyle w:val="Footer"/>
      <w:rPr>
        <w:rFonts w:ascii="Arial" w:hAnsi="Arial" w:cs="Arial"/>
        <w:b/>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6727" w14:textId="77777777" w:rsidR="00FC4D5B" w:rsidRDefault="00FC4D5B" w:rsidP="00EF21C2">
      <w:pPr>
        <w:spacing w:after="0" w:line="240" w:lineRule="auto"/>
      </w:pPr>
      <w:r>
        <w:separator/>
      </w:r>
    </w:p>
  </w:footnote>
  <w:footnote w:type="continuationSeparator" w:id="0">
    <w:p w14:paraId="08FAAF9F" w14:textId="77777777" w:rsidR="00FC4D5B" w:rsidRDefault="00FC4D5B" w:rsidP="00EF2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5B8C"/>
    <w:multiLevelType w:val="hybridMultilevel"/>
    <w:tmpl w:val="DB0CE1AE"/>
    <w:lvl w:ilvl="0" w:tplc="18503B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E0258"/>
    <w:multiLevelType w:val="hybridMultilevel"/>
    <w:tmpl w:val="C276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76F2B"/>
    <w:multiLevelType w:val="hybridMultilevel"/>
    <w:tmpl w:val="4CB2CD64"/>
    <w:lvl w:ilvl="0" w:tplc="F69A15E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547BC"/>
    <w:multiLevelType w:val="hybridMultilevel"/>
    <w:tmpl w:val="964C6B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50684"/>
    <w:multiLevelType w:val="hybridMultilevel"/>
    <w:tmpl w:val="654C8AF4"/>
    <w:lvl w:ilvl="0" w:tplc="C38A049C">
      <w:start w:val="1"/>
      <w:numFmt w:val="lowerRoman"/>
      <w:lvlText w:val="(%1)"/>
      <w:lvlJc w:val="left"/>
      <w:pPr>
        <w:ind w:left="755" w:hanging="360"/>
      </w:pPr>
      <w:rPr>
        <w:rFonts w:ascii="Arial" w:eastAsiaTheme="minorHAnsi" w:hAnsi="Arial" w:cs="Arial"/>
        <w:b w:val="0"/>
      </w:r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5" w15:restartNumberingAfterBreak="0">
    <w:nsid w:val="1CF23706"/>
    <w:multiLevelType w:val="hybridMultilevel"/>
    <w:tmpl w:val="8974AA10"/>
    <w:lvl w:ilvl="0" w:tplc="D4488998">
      <w:start w:val="1"/>
      <w:numFmt w:val="decimal"/>
      <w:lvlText w:val="(%1)"/>
      <w:lvlJc w:val="left"/>
      <w:pPr>
        <w:ind w:left="2160" w:hanging="360"/>
      </w:pPr>
      <w:rPr>
        <w:rFonts w:ascii="Arial" w:eastAsia="Times New Roman"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B5C171D"/>
    <w:multiLevelType w:val="hybridMultilevel"/>
    <w:tmpl w:val="C50CFF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CB2647"/>
    <w:multiLevelType w:val="hybridMultilevel"/>
    <w:tmpl w:val="632E3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14EA7"/>
    <w:multiLevelType w:val="hybridMultilevel"/>
    <w:tmpl w:val="D9147B7C"/>
    <w:lvl w:ilvl="0" w:tplc="C5DE7CCA">
      <w:start w:val="1"/>
      <w:numFmt w:val="decimal"/>
      <w:lvlText w:val="%1."/>
      <w:lvlJc w:val="left"/>
      <w:pPr>
        <w:ind w:left="720" w:hanging="360"/>
      </w:pPr>
      <w:rPr>
        <w:rFonts w:ascii="Arial" w:hAnsi="Arial" w:cs="Arial" w:hint="default"/>
        <w:color w:val="538135"/>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C104D"/>
    <w:multiLevelType w:val="hybridMultilevel"/>
    <w:tmpl w:val="56127BD4"/>
    <w:lvl w:ilvl="0" w:tplc="0330AD0A">
      <w:start w:val="1"/>
      <w:numFmt w:val="decimal"/>
      <w:lvlText w:val="%1."/>
      <w:lvlJc w:val="left"/>
      <w:pPr>
        <w:ind w:left="720" w:hanging="360"/>
      </w:pPr>
      <w:rPr>
        <w:rFonts w:hint="default"/>
        <w:b/>
        <w:bCs w:val="0"/>
        <w:color w:val="5381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B27D4"/>
    <w:multiLevelType w:val="hybridMultilevel"/>
    <w:tmpl w:val="5BBCB5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8118C"/>
    <w:multiLevelType w:val="hybridMultilevel"/>
    <w:tmpl w:val="874273B4"/>
    <w:lvl w:ilvl="0" w:tplc="E918E84E">
      <w:numFmt w:val="bullet"/>
      <w:lvlText w:val="-"/>
      <w:lvlJc w:val="left"/>
      <w:pPr>
        <w:ind w:left="720" w:hanging="360"/>
      </w:pPr>
      <w:rPr>
        <w:rFonts w:ascii="Arial" w:eastAsiaTheme="minorHAnsi" w:hAnsi="Arial" w:cs="Arial"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6B61B5"/>
    <w:multiLevelType w:val="hybridMultilevel"/>
    <w:tmpl w:val="478C1744"/>
    <w:lvl w:ilvl="0" w:tplc="F69A15E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A16CB4"/>
    <w:multiLevelType w:val="hybridMultilevel"/>
    <w:tmpl w:val="132E1AC4"/>
    <w:lvl w:ilvl="0" w:tplc="73A623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9F5783"/>
    <w:multiLevelType w:val="hybridMultilevel"/>
    <w:tmpl w:val="FE7A2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B3DCF"/>
    <w:multiLevelType w:val="hybridMultilevel"/>
    <w:tmpl w:val="D8F49A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7A0D11"/>
    <w:multiLevelType w:val="hybridMultilevel"/>
    <w:tmpl w:val="F0FCB690"/>
    <w:lvl w:ilvl="0" w:tplc="C5469C5C">
      <w:start w:val="1"/>
      <w:numFmt w:val="lowerRoman"/>
      <w:lvlText w:val="(%1)"/>
      <w:lvlJc w:val="left"/>
      <w:pPr>
        <w:ind w:left="720" w:hanging="36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2204844">
    <w:abstractNumId w:val="15"/>
  </w:num>
  <w:num w:numId="2" w16cid:durableId="1992172902">
    <w:abstractNumId w:val="16"/>
  </w:num>
  <w:num w:numId="3" w16cid:durableId="901142449">
    <w:abstractNumId w:val="10"/>
  </w:num>
  <w:num w:numId="4" w16cid:durableId="1617832420">
    <w:abstractNumId w:val="3"/>
  </w:num>
  <w:num w:numId="5" w16cid:durableId="299727198">
    <w:abstractNumId w:val="4"/>
  </w:num>
  <w:num w:numId="6" w16cid:durableId="1748765554">
    <w:abstractNumId w:val="12"/>
  </w:num>
  <w:num w:numId="7" w16cid:durableId="1486583594">
    <w:abstractNumId w:val="2"/>
  </w:num>
  <w:num w:numId="8" w16cid:durableId="1631472357">
    <w:abstractNumId w:val="6"/>
  </w:num>
  <w:num w:numId="9" w16cid:durableId="992443489">
    <w:abstractNumId w:val="11"/>
  </w:num>
  <w:num w:numId="10" w16cid:durableId="1449814385">
    <w:abstractNumId w:val="14"/>
  </w:num>
  <w:num w:numId="11" w16cid:durableId="891578097">
    <w:abstractNumId w:val="7"/>
  </w:num>
  <w:num w:numId="12" w16cid:durableId="507906789">
    <w:abstractNumId w:val="13"/>
  </w:num>
  <w:num w:numId="13" w16cid:durableId="1886260857">
    <w:abstractNumId w:val="5"/>
  </w:num>
  <w:num w:numId="14" w16cid:durableId="666980055">
    <w:abstractNumId w:val="1"/>
  </w:num>
  <w:num w:numId="15" w16cid:durableId="554122090">
    <w:abstractNumId w:val="0"/>
  </w:num>
  <w:num w:numId="16" w16cid:durableId="220101644">
    <w:abstractNumId w:val="9"/>
  </w:num>
  <w:num w:numId="17" w16cid:durableId="15933173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1D2"/>
    <w:rsid w:val="000419BB"/>
    <w:rsid w:val="000668DA"/>
    <w:rsid w:val="000D6EB5"/>
    <w:rsid w:val="0011222F"/>
    <w:rsid w:val="00191BE0"/>
    <w:rsid w:val="00196AA2"/>
    <w:rsid w:val="001C6E0E"/>
    <w:rsid w:val="001C76EF"/>
    <w:rsid w:val="002312BA"/>
    <w:rsid w:val="002B6058"/>
    <w:rsid w:val="002B7529"/>
    <w:rsid w:val="002B7A0E"/>
    <w:rsid w:val="003665D4"/>
    <w:rsid w:val="003819DD"/>
    <w:rsid w:val="003939A9"/>
    <w:rsid w:val="003A27DF"/>
    <w:rsid w:val="003B1C3F"/>
    <w:rsid w:val="003B66A0"/>
    <w:rsid w:val="003C4915"/>
    <w:rsid w:val="00435C47"/>
    <w:rsid w:val="00457D61"/>
    <w:rsid w:val="00461D86"/>
    <w:rsid w:val="004665AF"/>
    <w:rsid w:val="004F143D"/>
    <w:rsid w:val="004F36A7"/>
    <w:rsid w:val="00504931"/>
    <w:rsid w:val="005423B6"/>
    <w:rsid w:val="00585F32"/>
    <w:rsid w:val="00595952"/>
    <w:rsid w:val="005A2768"/>
    <w:rsid w:val="005C6AB6"/>
    <w:rsid w:val="00605447"/>
    <w:rsid w:val="006155B2"/>
    <w:rsid w:val="00622038"/>
    <w:rsid w:val="00651DBC"/>
    <w:rsid w:val="00653E7B"/>
    <w:rsid w:val="00673386"/>
    <w:rsid w:val="00673858"/>
    <w:rsid w:val="006819B6"/>
    <w:rsid w:val="006A139C"/>
    <w:rsid w:val="006B1CCC"/>
    <w:rsid w:val="006B6C20"/>
    <w:rsid w:val="006C1E7E"/>
    <w:rsid w:val="00703663"/>
    <w:rsid w:val="007058F2"/>
    <w:rsid w:val="00771508"/>
    <w:rsid w:val="0077611A"/>
    <w:rsid w:val="0079364E"/>
    <w:rsid w:val="00793EF5"/>
    <w:rsid w:val="00794FCF"/>
    <w:rsid w:val="007B0B05"/>
    <w:rsid w:val="007C077D"/>
    <w:rsid w:val="007C1B5B"/>
    <w:rsid w:val="007E0295"/>
    <w:rsid w:val="007F409E"/>
    <w:rsid w:val="008041CB"/>
    <w:rsid w:val="00817F28"/>
    <w:rsid w:val="00843483"/>
    <w:rsid w:val="0084414F"/>
    <w:rsid w:val="00847226"/>
    <w:rsid w:val="0085372D"/>
    <w:rsid w:val="00862C86"/>
    <w:rsid w:val="00867CFD"/>
    <w:rsid w:val="00872A6D"/>
    <w:rsid w:val="00884222"/>
    <w:rsid w:val="00887B40"/>
    <w:rsid w:val="008A07BE"/>
    <w:rsid w:val="008B3C35"/>
    <w:rsid w:val="008D1CAF"/>
    <w:rsid w:val="008D34EE"/>
    <w:rsid w:val="008E20D3"/>
    <w:rsid w:val="00907B75"/>
    <w:rsid w:val="009761D2"/>
    <w:rsid w:val="009909E9"/>
    <w:rsid w:val="00A56CB2"/>
    <w:rsid w:val="00A8136C"/>
    <w:rsid w:val="00AB7D6C"/>
    <w:rsid w:val="00AE1C46"/>
    <w:rsid w:val="00B03845"/>
    <w:rsid w:val="00B12D09"/>
    <w:rsid w:val="00B2718D"/>
    <w:rsid w:val="00B44CDB"/>
    <w:rsid w:val="00B50E2C"/>
    <w:rsid w:val="00B76753"/>
    <w:rsid w:val="00BC6845"/>
    <w:rsid w:val="00BE315D"/>
    <w:rsid w:val="00C06096"/>
    <w:rsid w:val="00C364F4"/>
    <w:rsid w:val="00C44E34"/>
    <w:rsid w:val="00C52556"/>
    <w:rsid w:val="00C74572"/>
    <w:rsid w:val="00C82E84"/>
    <w:rsid w:val="00C947F5"/>
    <w:rsid w:val="00CA4265"/>
    <w:rsid w:val="00CB515D"/>
    <w:rsid w:val="00CC2563"/>
    <w:rsid w:val="00CE56B4"/>
    <w:rsid w:val="00CF01F1"/>
    <w:rsid w:val="00D0172C"/>
    <w:rsid w:val="00D0731C"/>
    <w:rsid w:val="00D33F1E"/>
    <w:rsid w:val="00D979B0"/>
    <w:rsid w:val="00DD238F"/>
    <w:rsid w:val="00DE65C2"/>
    <w:rsid w:val="00E03256"/>
    <w:rsid w:val="00E1080D"/>
    <w:rsid w:val="00E70032"/>
    <w:rsid w:val="00E936E5"/>
    <w:rsid w:val="00ED30F9"/>
    <w:rsid w:val="00EF21C2"/>
    <w:rsid w:val="00F87C69"/>
    <w:rsid w:val="00FC4D5B"/>
    <w:rsid w:val="00FF42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shapelayout>
  </w:shapeDefaults>
  <w:decimalSymbol w:val="."/>
  <w:listSeparator w:val=","/>
  <w14:docId w14:val="619E5AB8"/>
  <w15:docId w15:val="{C0FC2F82-EF12-4410-B0C8-6EFD07E9E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D2"/>
    <w:rPr>
      <w:rFonts w:ascii="Times New Roman" w:eastAsiaTheme="minorEastAsia" w:hAnsi="Times New Roman"/>
      <w:sz w:val="24"/>
      <w:lang w:eastAsia="ko-KR"/>
    </w:rPr>
  </w:style>
  <w:style w:type="paragraph" w:styleId="Heading1">
    <w:name w:val="heading 1"/>
    <w:basedOn w:val="Normal"/>
    <w:next w:val="Normal"/>
    <w:link w:val="Heading1Char"/>
    <w:uiPriority w:val="9"/>
    <w:qFormat/>
    <w:rsid w:val="00EF21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F21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936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61D2"/>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61D2"/>
    <w:pPr>
      <w:ind w:left="720"/>
      <w:contextualSpacing/>
    </w:pPr>
  </w:style>
  <w:style w:type="paragraph" w:styleId="BalloonText">
    <w:name w:val="Balloon Text"/>
    <w:basedOn w:val="Normal"/>
    <w:link w:val="BalloonTextChar"/>
    <w:uiPriority w:val="99"/>
    <w:semiHidden/>
    <w:unhideWhenUsed/>
    <w:rsid w:val="009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1D2"/>
    <w:rPr>
      <w:rFonts w:ascii="Tahoma" w:eastAsiaTheme="minorEastAsia" w:hAnsi="Tahoma" w:cs="Tahoma"/>
      <w:sz w:val="16"/>
      <w:szCs w:val="16"/>
      <w:lang w:eastAsia="ko-KR"/>
    </w:rPr>
  </w:style>
  <w:style w:type="table" w:customStyle="1" w:styleId="TableGrid1">
    <w:name w:val="Table Grid1"/>
    <w:basedOn w:val="TableNormal"/>
    <w:next w:val="TableGrid"/>
    <w:uiPriority w:val="59"/>
    <w:rsid w:val="00D33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862C86"/>
  </w:style>
  <w:style w:type="character" w:customStyle="1" w:styleId="wordsection1Char">
    <w:name w:val="wordsection1 Char"/>
    <w:link w:val="wordsection1"/>
    <w:uiPriority w:val="99"/>
    <w:locked/>
    <w:rsid w:val="00AE1C46"/>
  </w:style>
  <w:style w:type="paragraph" w:customStyle="1" w:styleId="wordsection1">
    <w:name w:val="wordsection1"/>
    <w:basedOn w:val="Normal"/>
    <w:link w:val="wordsection1Char"/>
    <w:uiPriority w:val="99"/>
    <w:rsid w:val="00AE1C46"/>
    <w:pPr>
      <w:spacing w:before="100" w:beforeAutospacing="1" w:after="100" w:afterAutospacing="1" w:line="240" w:lineRule="auto"/>
    </w:pPr>
    <w:rPr>
      <w:rFonts w:asciiTheme="minorHAnsi" w:eastAsiaTheme="minorHAnsi" w:hAnsiTheme="minorHAnsi"/>
      <w:sz w:val="22"/>
      <w:lang w:eastAsia="en-US"/>
    </w:rPr>
  </w:style>
  <w:style w:type="paragraph" w:styleId="Header">
    <w:name w:val="header"/>
    <w:basedOn w:val="Normal"/>
    <w:link w:val="HeaderChar"/>
    <w:uiPriority w:val="99"/>
    <w:unhideWhenUsed/>
    <w:rsid w:val="00EF2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1C2"/>
    <w:rPr>
      <w:rFonts w:ascii="Times New Roman" w:eastAsiaTheme="minorEastAsia" w:hAnsi="Times New Roman"/>
      <w:sz w:val="24"/>
      <w:lang w:eastAsia="ko-KR"/>
    </w:rPr>
  </w:style>
  <w:style w:type="paragraph" w:styleId="Footer">
    <w:name w:val="footer"/>
    <w:basedOn w:val="Normal"/>
    <w:link w:val="FooterChar"/>
    <w:uiPriority w:val="99"/>
    <w:unhideWhenUsed/>
    <w:rsid w:val="00EF2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1C2"/>
    <w:rPr>
      <w:rFonts w:ascii="Times New Roman" w:eastAsiaTheme="minorEastAsia" w:hAnsi="Times New Roman"/>
      <w:sz w:val="24"/>
      <w:lang w:eastAsia="ko-KR"/>
    </w:rPr>
  </w:style>
  <w:style w:type="character" w:styleId="Hyperlink">
    <w:name w:val="Hyperlink"/>
    <w:basedOn w:val="DefaultParagraphFont"/>
    <w:uiPriority w:val="99"/>
    <w:unhideWhenUsed/>
    <w:rsid w:val="00EF21C2"/>
    <w:rPr>
      <w:color w:val="0000FF" w:themeColor="hyperlink"/>
      <w:u w:val="single"/>
    </w:rPr>
  </w:style>
  <w:style w:type="character" w:customStyle="1" w:styleId="Heading1Char">
    <w:name w:val="Heading 1 Char"/>
    <w:basedOn w:val="DefaultParagraphFont"/>
    <w:link w:val="Heading1"/>
    <w:uiPriority w:val="9"/>
    <w:rsid w:val="00EF21C2"/>
    <w:rPr>
      <w:rFonts w:asciiTheme="majorHAnsi" w:eastAsiaTheme="majorEastAsia" w:hAnsiTheme="majorHAnsi" w:cstheme="majorBidi"/>
      <w:b/>
      <w:bCs/>
      <w:color w:val="365F91" w:themeColor="accent1" w:themeShade="BF"/>
      <w:sz w:val="28"/>
      <w:szCs w:val="28"/>
      <w:lang w:eastAsia="ko-KR"/>
    </w:rPr>
  </w:style>
  <w:style w:type="character" w:customStyle="1" w:styleId="Heading2Char">
    <w:name w:val="Heading 2 Char"/>
    <w:basedOn w:val="DefaultParagraphFont"/>
    <w:link w:val="Heading2"/>
    <w:uiPriority w:val="9"/>
    <w:rsid w:val="00EF21C2"/>
    <w:rPr>
      <w:rFonts w:asciiTheme="majorHAnsi" w:eastAsiaTheme="majorEastAsia" w:hAnsiTheme="majorHAnsi" w:cstheme="majorBidi"/>
      <w:b/>
      <w:bCs/>
      <w:color w:val="4F81BD" w:themeColor="accent1"/>
      <w:sz w:val="26"/>
      <w:szCs w:val="26"/>
      <w:lang w:eastAsia="ko-KR"/>
    </w:rPr>
  </w:style>
  <w:style w:type="paragraph" w:styleId="NormalWeb">
    <w:name w:val="Normal (Web)"/>
    <w:basedOn w:val="Normal"/>
    <w:uiPriority w:val="99"/>
    <w:unhideWhenUsed/>
    <w:rsid w:val="0079364E"/>
    <w:pPr>
      <w:spacing w:before="100" w:beforeAutospacing="1" w:after="100" w:afterAutospacing="1" w:line="240" w:lineRule="auto"/>
    </w:pPr>
    <w:rPr>
      <w:rFonts w:eastAsia="Times New Roman" w:cs="Times New Roman"/>
      <w:szCs w:val="24"/>
      <w:lang w:eastAsia="en-US"/>
    </w:rPr>
  </w:style>
  <w:style w:type="character" w:styleId="Emphasis">
    <w:name w:val="Emphasis"/>
    <w:basedOn w:val="DefaultParagraphFont"/>
    <w:uiPriority w:val="20"/>
    <w:qFormat/>
    <w:rsid w:val="0079364E"/>
    <w:rPr>
      <w:i/>
      <w:iCs/>
    </w:rPr>
  </w:style>
  <w:style w:type="character" w:customStyle="1" w:styleId="fontstyle01">
    <w:name w:val="fontstyle01"/>
    <w:basedOn w:val="DefaultParagraphFont"/>
    <w:rsid w:val="0079364E"/>
    <w:rPr>
      <w:rFonts w:ascii="TimesNewRomanPSMT" w:hAnsi="TimesNewRomanPSMT" w:hint="default"/>
      <w:b w:val="0"/>
      <w:bCs w:val="0"/>
      <w:i w:val="0"/>
      <w:iCs w:val="0"/>
      <w:color w:val="000000"/>
      <w:sz w:val="26"/>
      <w:szCs w:val="26"/>
    </w:rPr>
  </w:style>
  <w:style w:type="character" w:customStyle="1" w:styleId="fontstyle11">
    <w:name w:val="fontstyle11"/>
    <w:basedOn w:val="DefaultParagraphFont"/>
    <w:rsid w:val="0079364E"/>
    <w:rPr>
      <w:rFonts w:ascii="TimesNewRoman" w:hAnsi="TimesNewRoman" w:hint="default"/>
      <w:b w:val="0"/>
      <w:bCs w:val="0"/>
      <w:i w:val="0"/>
      <w:iCs w:val="0"/>
      <w:color w:val="000000"/>
      <w:sz w:val="26"/>
      <w:szCs w:val="26"/>
    </w:rPr>
  </w:style>
  <w:style w:type="character" w:customStyle="1" w:styleId="Heading3Char">
    <w:name w:val="Heading 3 Char"/>
    <w:basedOn w:val="DefaultParagraphFont"/>
    <w:link w:val="Heading3"/>
    <w:uiPriority w:val="9"/>
    <w:rsid w:val="0079364E"/>
    <w:rPr>
      <w:rFonts w:asciiTheme="majorHAnsi" w:eastAsiaTheme="majorEastAsia" w:hAnsiTheme="majorHAnsi" w:cstheme="majorBidi"/>
      <w:b/>
      <w:bCs/>
      <w:color w:val="4F81BD" w:themeColor="accent1"/>
      <w:sz w:val="24"/>
      <w:lang w:eastAsia="ko-KR"/>
    </w:rPr>
  </w:style>
  <w:style w:type="paragraph" w:styleId="Title">
    <w:name w:val="Title"/>
    <w:basedOn w:val="Normal"/>
    <w:next w:val="Normal"/>
    <w:link w:val="TitleChar"/>
    <w:uiPriority w:val="10"/>
    <w:qFormat/>
    <w:rsid w:val="008041C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41CB"/>
    <w:rPr>
      <w:rFonts w:asciiTheme="majorHAnsi" w:eastAsiaTheme="majorEastAsia" w:hAnsiTheme="majorHAnsi" w:cstheme="majorBidi"/>
      <w:spacing w:val="-10"/>
      <w:kern w:val="28"/>
      <w:sz w:val="56"/>
      <w:szCs w:val="5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quyen-tac-gia-vu-khi-cong-hieu-trong-ngan-chan-xam-pham-nhan-hieu-va-kieu-dang-cong-nghiep-tai-viet-na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3</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13</cp:revision>
  <cp:lastPrinted>2022-07-27T05:16:00Z</cp:lastPrinted>
  <dcterms:created xsi:type="dcterms:W3CDTF">2021-10-08T08:17:00Z</dcterms:created>
  <dcterms:modified xsi:type="dcterms:W3CDTF">2022-07-27T06:20:00Z</dcterms:modified>
</cp:coreProperties>
</file>