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E0B49" w14:textId="4CF654A9" w:rsidR="002608A5" w:rsidRPr="00650CCB" w:rsidRDefault="002608A5" w:rsidP="002608A5">
      <w:pPr>
        <w:spacing w:after="0" w:line="240" w:lineRule="auto"/>
        <w:jc w:val="center"/>
        <w:rPr>
          <w:rFonts w:ascii="Arial" w:hAnsi="Arial" w:cs="Arial"/>
          <w:b/>
          <w:bCs/>
          <w:color w:val="C00000"/>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211AABB1" wp14:editId="468E62C4">
                <wp:simplePos x="0" y="0"/>
                <wp:positionH relativeFrom="column">
                  <wp:posOffset>6337935</wp:posOffset>
                </wp:positionH>
                <wp:positionV relativeFrom="paragraph">
                  <wp:posOffset>-605790</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0322F" w14:textId="77777777" w:rsidR="002608A5" w:rsidRDefault="002608A5" w:rsidP="002608A5">
                            <w:pPr>
                              <w:spacing w:after="0" w:line="240" w:lineRule="auto"/>
                              <w:jc w:val="center"/>
                              <w:rPr>
                                <w:rFonts w:ascii="Arial" w:hAnsi="Arial" w:cs="Arial"/>
                                <w:color w:val="FFFFFF" w:themeColor="background1"/>
                              </w:rPr>
                            </w:pPr>
                          </w:p>
                          <w:p w14:paraId="6B1231D4" w14:textId="77777777" w:rsidR="002608A5" w:rsidRDefault="002608A5" w:rsidP="002608A5">
                            <w:pPr>
                              <w:spacing w:after="0" w:line="240" w:lineRule="auto"/>
                              <w:jc w:val="center"/>
                              <w:rPr>
                                <w:rFonts w:ascii="Arial" w:hAnsi="Arial" w:cs="Arial"/>
                                <w:color w:val="FFFFFF" w:themeColor="background1"/>
                                <w:sz w:val="20"/>
                                <w:szCs w:val="20"/>
                              </w:rPr>
                            </w:pPr>
                          </w:p>
                          <w:p w14:paraId="340E7C6A" w14:textId="77777777" w:rsidR="002608A5" w:rsidRPr="008E758C" w:rsidRDefault="002608A5" w:rsidP="002608A5">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8E758C">
                              <w:rPr>
                                <w:rFonts w:ascii="Arial" w:hAnsi="Arial" w:cs="Arial"/>
                                <w:b/>
                                <w:color w:val="FFFFFF" w:themeColor="background1"/>
                                <w:sz w:val="18"/>
                                <w:szCs w:val="18"/>
                              </w:rPr>
                              <w:t>Accelerating patent examination in Vietnam</w:t>
                            </w:r>
                          </w:p>
                          <w:p w14:paraId="2AC7C5A7" w14:textId="77777777" w:rsidR="002608A5" w:rsidRDefault="002608A5" w:rsidP="002608A5">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499.05pt;margin-top:-47.7pt;width:25.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" fillcolor="#00b39c" strokecolor="#00b39c" strokeweight="1pt">
                <v:textbox style="layout-flow:vertical">
                  <w:txbxContent>
                    <w:p w14:paraId="6280322F" w14:textId="77777777" w:rsidR="002608A5" w:rsidRDefault="002608A5" w:rsidP="002608A5">
                      <w:pPr>
                        <w:spacing w:after="0" w:line="240" w:lineRule="auto"/>
                        <w:jc w:val="center"/>
                        <w:rPr>
                          <w:rFonts w:ascii="Arial" w:hAnsi="Arial" w:cs="Arial"/>
                          <w:color w:val="FFFFFF" w:themeColor="background1"/>
                        </w:rPr>
                      </w:pPr>
                    </w:p>
                    <w:p w14:paraId="6B1231D4" w14:textId="77777777" w:rsidR="002608A5" w:rsidRDefault="002608A5" w:rsidP="002608A5">
                      <w:pPr>
                        <w:spacing w:after="0" w:line="240" w:lineRule="auto"/>
                        <w:jc w:val="center"/>
                        <w:rPr>
                          <w:rFonts w:ascii="Arial" w:hAnsi="Arial" w:cs="Arial"/>
                          <w:color w:val="FFFFFF" w:themeColor="background1"/>
                          <w:sz w:val="20"/>
                          <w:szCs w:val="20"/>
                        </w:rPr>
                      </w:pPr>
                    </w:p>
                    <w:p w14:paraId="340E7C6A" w14:textId="77777777" w:rsidR="002608A5" w:rsidRPr="008E758C" w:rsidRDefault="002608A5" w:rsidP="002608A5">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8E758C">
                        <w:rPr>
                          <w:rFonts w:ascii="Arial" w:hAnsi="Arial" w:cs="Arial"/>
                          <w:b/>
                          <w:color w:val="FFFFFF" w:themeColor="background1"/>
                          <w:sz w:val="18"/>
                          <w:szCs w:val="18"/>
                        </w:rPr>
                        <w:t>Accelerating patent examination in Vietnam</w:t>
                      </w:r>
                    </w:p>
                    <w:p w14:paraId="2AC7C5A7" w14:textId="77777777" w:rsidR="002608A5" w:rsidRDefault="002608A5" w:rsidP="002608A5">
                      <w:pPr>
                        <w:jc w:val="center"/>
                      </w:pPr>
                    </w:p>
                  </w:txbxContent>
                </v:textbox>
              </v:rect>
            </w:pict>
          </mc:Fallback>
        </mc:AlternateContent>
      </w: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6E1772A4" wp14:editId="76B9E4CB">
                <wp:simplePos x="0" y="0"/>
                <wp:positionH relativeFrom="column">
                  <wp:posOffset>-615950</wp:posOffset>
                </wp:positionH>
                <wp:positionV relativeFrom="paragraph">
                  <wp:posOffset>-607060</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342B58C7" w14:textId="77777777" w:rsidR="002608A5" w:rsidRPr="00CC7576" w:rsidRDefault="002608A5" w:rsidP="002608A5">
                            <w:pPr>
                              <w:jc w:val="center"/>
                              <w:rPr>
                                <w:rFonts w:ascii="Arial" w:hAnsi="Arial" w:cs="Arial"/>
                                <w:b/>
                                <w:color w:val="FFFFFF" w:themeColor="background1"/>
                                <w:sz w:val="20"/>
                                <w:szCs w:val="20"/>
                              </w:rPr>
                            </w:pPr>
                            <w:r>
                              <w:rPr>
                                <w:rFonts w:ascii="Arial" w:hAnsi="Arial" w:cs="Arial"/>
                                <w:b/>
                                <w:color w:val="FFFFFF" w:themeColor="background1"/>
                                <w:sz w:val="20"/>
                                <w:szCs w:val="20"/>
                              </w:rPr>
                              <w:t>A</w:t>
                            </w:r>
                            <w:r w:rsidRPr="007053BD">
                              <w:rPr>
                                <w:rFonts w:ascii="Arial" w:hAnsi="Arial" w:cs="Arial"/>
                                <w:b/>
                                <w:color w:val="FFFFFF" w:themeColor="background1"/>
                                <w:sz w:val="20"/>
                                <w:szCs w:val="20"/>
                              </w:rPr>
                              <w:t>ccelerating patent examination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8.5pt;margin-top:-47.8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" fillcolor="#f56b2e" strokecolor="#f56b2e" strokeweight="1pt">
                <v:textbox>
                  <w:txbxContent>
                    <w:p w14:paraId="342B58C7" w14:textId="77777777" w:rsidR="002608A5" w:rsidRPr="00CC7576" w:rsidRDefault="002608A5" w:rsidP="002608A5">
                      <w:pPr>
                        <w:jc w:val="center"/>
                        <w:rPr>
                          <w:rFonts w:ascii="Arial" w:hAnsi="Arial" w:cs="Arial"/>
                          <w:b/>
                          <w:color w:val="FFFFFF" w:themeColor="background1"/>
                          <w:sz w:val="20"/>
                          <w:szCs w:val="20"/>
                        </w:rPr>
                      </w:pPr>
                      <w:r>
                        <w:rPr>
                          <w:rFonts w:ascii="Arial" w:hAnsi="Arial" w:cs="Arial"/>
                          <w:b/>
                          <w:color w:val="FFFFFF" w:themeColor="background1"/>
                          <w:sz w:val="20"/>
                          <w:szCs w:val="20"/>
                        </w:rPr>
                        <w:t>A</w:t>
                      </w:r>
                      <w:r w:rsidRPr="007053BD">
                        <w:rPr>
                          <w:rFonts w:ascii="Arial" w:hAnsi="Arial" w:cs="Arial"/>
                          <w:b/>
                          <w:color w:val="FFFFFF" w:themeColor="background1"/>
                          <w:sz w:val="20"/>
                          <w:szCs w:val="20"/>
                        </w:rPr>
                        <w:t>ccelerating patent examination in Vietnam</w:t>
                      </w:r>
                    </w:p>
                  </w:txbxContent>
                </v:textbox>
              </v:rect>
            </w:pict>
          </mc:Fallback>
        </mc:AlternateContent>
      </w:r>
      <w:r w:rsidRPr="00650CCB">
        <w:rPr>
          <w:rFonts w:ascii="Arial" w:hAnsi="Arial" w:cs="Arial"/>
          <w:b/>
          <w:bCs/>
          <w:color w:val="C00000"/>
          <w:sz w:val="24"/>
          <w:szCs w:val="24"/>
        </w:rPr>
        <w:t>Three options to accelerate patent examination in Vietnam</w:t>
      </w:r>
    </w:p>
    <w:p w14:paraId="1583A339" w14:textId="77777777" w:rsidR="002608A5" w:rsidRPr="00650CCB" w:rsidRDefault="002608A5" w:rsidP="002608A5">
      <w:pPr>
        <w:spacing w:after="0" w:line="240" w:lineRule="auto"/>
        <w:jc w:val="both"/>
        <w:rPr>
          <w:rFonts w:ascii="Arial" w:hAnsi="Arial" w:cs="Arial"/>
          <w:b/>
          <w:bCs/>
          <w:sz w:val="20"/>
          <w:szCs w:val="20"/>
        </w:rPr>
      </w:pPr>
    </w:p>
    <w:p w14:paraId="761981EB" w14:textId="77777777" w:rsidR="002608A5" w:rsidRPr="001770D3" w:rsidRDefault="002608A5" w:rsidP="002608A5">
      <w:pPr>
        <w:spacing w:after="0" w:line="240" w:lineRule="auto"/>
        <w:jc w:val="both"/>
        <w:rPr>
          <w:rFonts w:ascii="Arial" w:hAnsi="Arial" w:cs="Arial"/>
          <w:i/>
          <w:iCs/>
          <w:sz w:val="20"/>
          <w:szCs w:val="20"/>
        </w:rPr>
      </w:pPr>
      <w:r w:rsidRPr="001770D3">
        <w:rPr>
          <w:rFonts w:ascii="Arial" w:hAnsi="Arial" w:cs="Arial"/>
          <w:i/>
          <w:iCs/>
          <w:sz w:val="20"/>
          <w:szCs w:val="20"/>
        </w:rPr>
        <w:t>The examination of a patent application's patentability in Vietnam is time-consuming. A typical examination would necessitate access to databases of prior art for novelty and inventiveness comparisons against what has already been disclosed or practiced. Despite recent advancements in conducting substantive examination for patent applications, the Intellectual Property Office of Vietnam (</w:t>
      </w:r>
      <w:r>
        <w:rPr>
          <w:rFonts w:ascii="Arial" w:hAnsi="Arial" w:cs="Arial"/>
          <w:b/>
          <w:bCs/>
          <w:i/>
          <w:iCs/>
          <w:sz w:val="20"/>
          <w:szCs w:val="20"/>
        </w:rPr>
        <w:t>VNIPO</w:t>
      </w:r>
      <w:r w:rsidRPr="001770D3">
        <w:rPr>
          <w:rFonts w:ascii="Arial" w:hAnsi="Arial" w:cs="Arial"/>
          <w:i/>
          <w:iCs/>
          <w:sz w:val="20"/>
          <w:szCs w:val="20"/>
        </w:rPr>
        <w:t>) tends to grant patents based on the grant of the corresponding patent from countries with more developed IP systems or examination results of the corresponding patent application from more established Patent Offices such as those of the United States, Japan, South Korea, and the European Patent Office.</w:t>
      </w:r>
    </w:p>
    <w:p w14:paraId="4B9A07C3" w14:textId="77777777" w:rsidR="002608A5" w:rsidRPr="001770D3" w:rsidRDefault="002608A5" w:rsidP="002608A5">
      <w:pPr>
        <w:spacing w:after="0" w:line="240" w:lineRule="auto"/>
        <w:jc w:val="both"/>
        <w:rPr>
          <w:rFonts w:ascii="Arial" w:hAnsi="Arial" w:cs="Arial"/>
          <w:i/>
          <w:iCs/>
          <w:sz w:val="20"/>
          <w:szCs w:val="20"/>
        </w:rPr>
      </w:pPr>
    </w:p>
    <w:p w14:paraId="6F289330" w14:textId="77777777" w:rsidR="002608A5" w:rsidRPr="00650CCB" w:rsidRDefault="002608A5" w:rsidP="002608A5">
      <w:pPr>
        <w:spacing w:after="0" w:line="240" w:lineRule="auto"/>
        <w:jc w:val="both"/>
        <w:rPr>
          <w:rFonts w:ascii="Arial" w:hAnsi="Arial" w:cs="Arial"/>
          <w:sz w:val="20"/>
          <w:szCs w:val="20"/>
        </w:rPr>
      </w:pPr>
      <w:r w:rsidRPr="001770D3">
        <w:rPr>
          <w:rFonts w:ascii="Arial" w:hAnsi="Arial" w:cs="Arial"/>
          <w:i/>
          <w:iCs/>
          <w:sz w:val="20"/>
          <w:szCs w:val="20"/>
        </w:rPr>
        <w:t>In the absence of such foreign grants of corresponding patent applications, the patent application process is likely to be delayed for as long as at least 3 years or longer in Vietnam</w:t>
      </w:r>
      <w:r w:rsidRPr="00650CCB">
        <w:rPr>
          <w:rFonts w:ascii="Arial" w:hAnsi="Arial" w:cs="Arial"/>
          <w:sz w:val="20"/>
          <w:szCs w:val="20"/>
        </w:rPr>
        <w:t>.</w:t>
      </w:r>
    </w:p>
    <w:p w14:paraId="02A37FFE" w14:textId="77777777" w:rsidR="002608A5" w:rsidRPr="00650CCB" w:rsidRDefault="002608A5" w:rsidP="002608A5">
      <w:pPr>
        <w:spacing w:after="0" w:line="240" w:lineRule="auto"/>
        <w:jc w:val="both"/>
        <w:rPr>
          <w:rFonts w:ascii="Arial" w:hAnsi="Arial" w:cs="Arial"/>
          <w:sz w:val="20"/>
          <w:szCs w:val="20"/>
        </w:rPr>
      </w:pPr>
    </w:p>
    <w:p w14:paraId="5571E7CC" w14:textId="77777777" w:rsidR="002608A5" w:rsidRPr="00650CCB" w:rsidRDefault="002608A5" w:rsidP="002608A5">
      <w:pPr>
        <w:spacing w:after="0" w:line="240" w:lineRule="auto"/>
        <w:jc w:val="both"/>
        <w:rPr>
          <w:rFonts w:ascii="Arial" w:hAnsi="Arial" w:cs="Arial"/>
          <w:sz w:val="20"/>
          <w:szCs w:val="20"/>
        </w:rPr>
      </w:pPr>
      <w:r w:rsidRPr="00650CCB">
        <w:rPr>
          <w:rFonts w:ascii="Arial" w:hAnsi="Arial" w:cs="Arial"/>
          <w:sz w:val="20"/>
          <w:szCs w:val="20"/>
        </w:rPr>
        <w:t xml:space="preserve">Hereunder are </w:t>
      </w:r>
      <w:r w:rsidRPr="001770D3">
        <w:rPr>
          <w:rFonts w:ascii="Arial" w:hAnsi="Arial" w:cs="Arial"/>
          <w:b/>
          <w:bCs/>
          <w:sz w:val="20"/>
          <w:szCs w:val="20"/>
        </w:rPr>
        <w:t>three options to accelerate patent examinations in Vietnam</w:t>
      </w:r>
      <w:r w:rsidRPr="00650CCB">
        <w:rPr>
          <w:rFonts w:ascii="Arial" w:hAnsi="Arial" w:cs="Arial"/>
          <w:sz w:val="20"/>
          <w:szCs w:val="20"/>
        </w:rPr>
        <w:t>.</w:t>
      </w:r>
    </w:p>
    <w:p w14:paraId="0DD6639E" w14:textId="77777777" w:rsidR="002608A5" w:rsidRPr="00650CCB" w:rsidRDefault="002608A5" w:rsidP="002608A5">
      <w:pPr>
        <w:spacing w:after="0" w:line="240" w:lineRule="auto"/>
        <w:jc w:val="both"/>
        <w:rPr>
          <w:rFonts w:ascii="Arial" w:hAnsi="Arial" w:cs="Arial"/>
          <w:sz w:val="20"/>
          <w:szCs w:val="20"/>
        </w:rPr>
      </w:pPr>
    </w:p>
    <w:p w14:paraId="74B85B18" w14:textId="77777777" w:rsidR="002608A5" w:rsidRPr="00925E49" w:rsidRDefault="002608A5" w:rsidP="002608A5">
      <w:pPr>
        <w:spacing w:after="0" w:line="240" w:lineRule="auto"/>
        <w:jc w:val="both"/>
        <w:rPr>
          <w:rFonts w:ascii="Arial" w:hAnsi="Arial" w:cs="Arial"/>
          <w:b/>
          <w:bCs/>
          <w:color w:val="2F5496" w:themeColor="accent1" w:themeShade="BF"/>
          <w:sz w:val="20"/>
          <w:szCs w:val="20"/>
        </w:rPr>
      </w:pPr>
      <w:r w:rsidRPr="00925E49">
        <w:rPr>
          <w:rFonts w:ascii="Arial" w:hAnsi="Arial" w:cs="Arial"/>
          <w:b/>
          <w:bCs/>
          <w:color w:val="2F5496" w:themeColor="accent1" w:themeShade="BF"/>
          <w:sz w:val="20"/>
          <w:szCs w:val="20"/>
        </w:rPr>
        <w:t xml:space="preserve">I. </w:t>
      </w:r>
      <w:r w:rsidRPr="00925E49" w:rsidDel="00F60CD0">
        <w:rPr>
          <w:rFonts w:ascii="Arial" w:hAnsi="Arial" w:cs="Arial"/>
          <w:b/>
          <w:bCs/>
          <w:color w:val="2F5496" w:themeColor="accent1" w:themeShade="BF"/>
          <w:sz w:val="20"/>
          <w:szCs w:val="20"/>
        </w:rPr>
        <w:t xml:space="preserve">Accelerated examination by </w:t>
      </w:r>
      <w:r w:rsidRPr="00925E49">
        <w:rPr>
          <w:rFonts w:ascii="Arial" w:hAnsi="Arial" w:cs="Arial"/>
          <w:b/>
          <w:bCs/>
          <w:color w:val="2F5496" w:themeColor="accent1" w:themeShade="BF"/>
          <w:sz w:val="20"/>
          <w:szCs w:val="20"/>
        </w:rPr>
        <w:t>filing a request directly with VNIPO</w:t>
      </w:r>
    </w:p>
    <w:p w14:paraId="5F8B987C" w14:textId="77777777" w:rsidR="002608A5" w:rsidRPr="00925E49" w:rsidRDefault="002608A5" w:rsidP="002608A5">
      <w:pPr>
        <w:spacing w:after="0" w:line="240" w:lineRule="auto"/>
        <w:jc w:val="both"/>
        <w:rPr>
          <w:rFonts w:ascii="Arial" w:hAnsi="Arial" w:cs="Arial"/>
          <w:color w:val="2F5496" w:themeColor="accent1" w:themeShade="BF"/>
          <w:sz w:val="20"/>
          <w:szCs w:val="20"/>
        </w:rPr>
      </w:pPr>
    </w:p>
    <w:p w14:paraId="0965B520" w14:textId="77777777" w:rsidR="002608A5" w:rsidRDefault="002608A5" w:rsidP="002608A5">
      <w:pPr>
        <w:spacing w:after="0"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Statutorily, a patent/utility solution application shall be substantively examined only after being published on the official Industrial Gazette of Vietnam or after the date of requesting for the examination from the applicant, whichever is later. At that time, VNIPO will assign an examiner to conduct substantive examination for the application.</w:t>
      </w:r>
    </w:p>
    <w:p w14:paraId="1DE24B91" w14:textId="77777777" w:rsidR="002608A5" w:rsidRDefault="002608A5" w:rsidP="002608A5">
      <w:pPr>
        <w:spacing w:after="0" w:line="240" w:lineRule="auto"/>
        <w:jc w:val="both"/>
        <w:rPr>
          <w:rFonts w:ascii="Arial" w:hAnsi="Arial" w:cs="Arial"/>
          <w:sz w:val="20"/>
          <w:szCs w:val="20"/>
        </w:rPr>
      </w:pPr>
    </w:p>
    <w:p w14:paraId="0D79C355" w14:textId="77777777" w:rsidR="002608A5" w:rsidRDefault="002608A5" w:rsidP="002608A5">
      <w:pPr>
        <w:spacing w:after="0" w:line="240" w:lineRule="auto"/>
        <w:jc w:val="both"/>
        <w:rPr>
          <w:rFonts w:ascii="Arial" w:hAnsi="Arial" w:cs="Arial"/>
          <w:sz w:val="20"/>
          <w:szCs w:val="20"/>
        </w:rPr>
      </w:pPr>
      <w:r w:rsidRPr="00650CCB">
        <w:rPr>
          <w:rFonts w:ascii="Arial" w:hAnsi="Arial" w:cs="Arial"/>
          <w:sz w:val="20"/>
          <w:szCs w:val="20"/>
        </w:rPr>
        <w:t>Article 9.6 of Circular 01/2007/TT-BKHCN</w:t>
      </w:r>
      <w:r>
        <w:rPr>
          <w:rFonts w:ascii="Arial" w:hAnsi="Arial" w:cs="Arial"/>
          <w:sz w:val="20"/>
          <w:szCs w:val="20"/>
        </w:rPr>
        <w:t>, as</w:t>
      </w:r>
      <w:r w:rsidRPr="00650CCB">
        <w:rPr>
          <w:rFonts w:ascii="Arial" w:hAnsi="Arial" w:cs="Arial"/>
          <w:sz w:val="20"/>
          <w:szCs w:val="20"/>
        </w:rPr>
        <w:t xml:space="preserve"> amended</w:t>
      </w:r>
      <w:r>
        <w:rPr>
          <w:rFonts w:ascii="Arial" w:hAnsi="Arial" w:cs="Arial"/>
          <w:sz w:val="20"/>
          <w:szCs w:val="20"/>
        </w:rPr>
        <w:t xml:space="preserve"> by</w:t>
      </w:r>
      <w:r w:rsidRPr="00650CCB">
        <w:rPr>
          <w:rFonts w:ascii="Arial" w:hAnsi="Arial" w:cs="Arial"/>
          <w:sz w:val="20"/>
          <w:szCs w:val="20"/>
        </w:rPr>
        <w:t xml:space="preserve"> Circular No. 16/2016/TT-BKHCN</w:t>
      </w:r>
      <w:r>
        <w:rPr>
          <w:rFonts w:ascii="Arial" w:hAnsi="Arial" w:cs="Arial"/>
          <w:sz w:val="20"/>
          <w:szCs w:val="20"/>
        </w:rPr>
        <w:t>,</w:t>
      </w:r>
      <w:r w:rsidRPr="00650CCB">
        <w:rPr>
          <w:rFonts w:ascii="Arial" w:hAnsi="Arial" w:cs="Arial"/>
          <w:sz w:val="20"/>
          <w:szCs w:val="20"/>
        </w:rPr>
        <w:t xml:space="preserve"> which </w:t>
      </w:r>
      <w:r>
        <w:rPr>
          <w:rFonts w:ascii="Arial" w:hAnsi="Arial" w:cs="Arial"/>
          <w:sz w:val="20"/>
          <w:szCs w:val="20"/>
        </w:rPr>
        <w:t>took</w:t>
      </w:r>
      <w:r w:rsidRPr="00650CCB">
        <w:rPr>
          <w:rFonts w:ascii="Arial" w:hAnsi="Arial" w:cs="Arial"/>
          <w:sz w:val="20"/>
          <w:szCs w:val="20"/>
        </w:rPr>
        <w:t xml:space="preserve"> effect from January 15, 2018, </w:t>
      </w:r>
      <w:r>
        <w:rPr>
          <w:rFonts w:ascii="Arial" w:hAnsi="Arial" w:cs="Arial"/>
          <w:sz w:val="20"/>
          <w:szCs w:val="20"/>
        </w:rPr>
        <w:t xml:space="preserve">allows </w:t>
      </w:r>
      <w:r w:rsidRPr="00650CCB">
        <w:rPr>
          <w:rFonts w:ascii="Arial" w:hAnsi="Arial" w:cs="Arial"/>
          <w:sz w:val="20"/>
          <w:szCs w:val="20"/>
        </w:rPr>
        <w:t>applicants to file a request for accelerated examination</w:t>
      </w:r>
      <w:r>
        <w:rPr>
          <w:rFonts w:ascii="Arial" w:hAnsi="Arial" w:cs="Arial"/>
          <w:sz w:val="20"/>
          <w:szCs w:val="20"/>
        </w:rPr>
        <w:t xml:space="preserve"> with VNIPO</w:t>
      </w:r>
      <w:r w:rsidRPr="00650CCB">
        <w:rPr>
          <w:rFonts w:ascii="Arial" w:hAnsi="Arial" w:cs="Arial"/>
          <w:sz w:val="20"/>
          <w:szCs w:val="20"/>
        </w:rPr>
        <w:t xml:space="preserve">, subject to payment of </w:t>
      </w:r>
      <w:r w:rsidRPr="009E50AE">
        <w:rPr>
          <w:rFonts w:ascii="Arial" w:hAnsi="Arial" w:cs="Arial"/>
          <w:sz w:val="20"/>
          <w:szCs w:val="20"/>
        </w:rPr>
        <w:t>additional</w:t>
      </w:r>
      <w:r w:rsidRPr="00650CCB" w:rsidDel="009E50AE">
        <w:rPr>
          <w:rFonts w:ascii="Arial" w:hAnsi="Arial" w:cs="Arial"/>
          <w:sz w:val="20"/>
          <w:szCs w:val="20"/>
        </w:rPr>
        <w:t xml:space="preserve"> </w:t>
      </w:r>
      <w:r w:rsidRPr="00650CCB">
        <w:rPr>
          <w:rFonts w:ascii="Arial" w:hAnsi="Arial" w:cs="Arial"/>
          <w:sz w:val="20"/>
          <w:szCs w:val="20"/>
        </w:rPr>
        <w:t>fees</w:t>
      </w:r>
      <w:r w:rsidRPr="001770D3">
        <w:rPr>
          <w:rFonts w:ascii="Arial" w:hAnsi="Arial" w:cs="Arial"/>
          <w:sz w:val="20"/>
          <w:szCs w:val="20"/>
        </w:rPr>
        <w:t xml:space="preserve"> </w:t>
      </w:r>
      <w:r w:rsidRPr="004C10CA">
        <w:rPr>
          <w:rFonts w:ascii="Arial" w:hAnsi="Arial" w:cs="Arial"/>
          <w:sz w:val="20"/>
          <w:szCs w:val="20"/>
        </w:rPr>
        <w:t>if the request is accepted.</w:t>
      </w:r>
      <w:r w:rsidRPr="00650CCB">
        <w:rPr>
          <w:rFonts w:ascii="Arial" w:hAnsi="Arial" w:cs="Arial"/>
          <w:sz w:val="20"/>
          <w:szCs w:val="20"/>
        </w:rPr>
        <w:t xml:space="preserve"> Despite the aforesaid, due to the backlog of patent application examination at </w:t>
      </w:r>
      <w:r>
        <w:rPr>
          <w:rFonts w:ascii="Arial" w:hAnsi="Arial" w:cs="Arial"/>
          <w:sz w:val="20"/>
          <w:szCs w:val="20"/>
        </w:rPr>
        <w:t>VNIPO</w:t>
      </w:r>
      <w:r w:rsidRPr="00650CCB">
        <w:rPr>
          <w:rFonts w:ascii="Arial" w:hAnsi="Arial" w:cs="Arial"/>
          <w:sz w:val="20"/>
          <w:szCs w:val="20"/>
        </w:rPr>
        <w:t xml:space="preserve">, such an acceleration request is rarely accepted or </w:t>
      </w:r>
      <w:r>
        <w:rPr>
          <w:rFonts w:ascii="Arial" w:hAnsi="Arial" w:cs="Arial"/>
          <w:sz w:val="20"/>
          <w:szCs w:val="20"/>
        </w:rPr>
        <w:t xml:space="preserve">granted </w:t>
      </w:r>
      <w:r w:rsidRPr="00650CCB">
        <w:rPr>
          <w:rFonts w:ascii="Arial" w:hAnsi="Arial" w:cs="Arial"/>
          <w:sz w:val="20"/>
          <w:szCs w:val="20"/>
        </w:rPr>
        <w:t xml:space="preserve">on </w:t>
      </w:r>
      <w:r>
        <w:rPr>
          <w:rFonts w:ascii="Arial" w:hAnsi="Arial" w:cs="Arial"/>
          <w:sz w:val="20"/>
          <w:szCs w:val="20"/>
        </w:rPr>
        <w:t xml:space="preserve">a </w:t>
      </w:r>
      <w:r w:rsidRPr="00650CCB">
        <w:rPr>
          <w:rFonts w:ascii="Arial" w:hAnsi="Arial" w:cs="Arial"/>
          <w:sz w:val="20"/>
          <w:szCs w:val="20"/>
        </w:rPr>
        <w:t xml:space="preserve">case-by-case basis with prior approval of </w:t>
      </w:r>
      <w:r>
        <w:rPr>
          <w:rFonts w:ascii="Arial" w:hAnsi="Arial" w:cs="Arial"/>
          <w:sz w:val="20"/>
          <w:szCs w:val="20"/>
        </w:rPr>
        <w:t>VNIPO</w:t>
      </w:r>
      <w:r w:rsidRPr="00650CCB">
        <w:rPr>
          <w:rFonts w:ascii="Arial" w:hAnsi="Arial" w:cs="Arial"/>
          <w:sz w:val="20"/>
          <w:szCs w:val="20"/>
        </w:rPr>
        <w:t>’s relevant persons.</w:t>
      </w:r>
    </w:p>
    <w:p w14:paraId="13475C90" w14:textId="77777777" w:rsidR="002608A5" w:rsidRDefault="002608A5" w:rsidP="002608A5">
      <w:pPr>
        <w:spacing w:after="0" w:line="240" w:lineRule="auto"/>
        <w:jc w:val="both"/>
        <w:rPr>
          <w:rFonts w:ascii="Arial" w:hAnsi="Arial" w:cs="Arial"/>
          <w:sz w:val="20"/>
          <w:szCs w:val="20"/>
        </w:rPr>
      </w:pPr>
    </w:p>
    <w:p w14:paraId="33B6BB22" w14:textId="77777777" w:rsidR="002608A5" w:rsidRDefault="002608A5" w:rsidP="002608A5">
      <w:pPr>
        <w:shd w:val="clear" w:color="auto" w:fill="FFFFFF"/>
        <w:spacing w:after="0" w:line="240" w:lineRule="auto"/>
        <w:jc w:val="both"/>
        <w:rPr>
          <w:rFonts w:ascii="Arial" w:eastAsia="Times New Roman" w:hAnsi="Arial" w:cs="Arial"/>
          <w:color w:val="000000"/>
          <w:sz w:val="20"/>
          <w:szCs w:val="20"/>
        </w:rPr>
      </w:pPr>
      <w:r w:rsidRPr="00402358">
        <w:rPr>
          <w:rFonts w:ascii="Arial" w:hAnsi="Arial" w:cs="Arial"/>
          <w:color w:val="000000"/>
          <w:sz w:val="20"/>
          <w:szCs w:val="20"/>
          <w:shd w:val="clear" w:color="auto" w:fill="FFFFFF"/>
        </w:rPr>
        <w:t>The most common justification recognized by VNIPO for accelerated examination of a patent application is the applicant's intention to market the filed invention in Vietnam. VNIPO may accept to expedite patent application examination if the applicant provides the following information and/or documents:</w:t>
      </w:r>
    </w:p>
    <w:p w14:paraId="0435D162" w14:textId="77777777" w:rsidR="002608A5" w:rsidRPr="00402358" w:rsidRDefault="002608A5" w:rsidP="002608A5">
      <w:pPr>
        <w:shd w:val="clear" w:color="auto" w:fill="FFFFFF"/>
        <w:spacing w:after="0" w:line="240" w:lineRule="auto"/>
        <w:rPr>
          <w:rFonts w:ascii="Times New Roman" w:eastAsia="Times New Roman" w:hAnsi="Times New Roman" w:cs="Times New Roman"/>
          <w:color w:val="222222"/>
          <w:sz w:val="24"/>
          <w:szCs w:val="24"/>
        </w:rPr>
      </w:pPr>
    </w:p>
    <w:p w14:paraId="1FAE61C3" w14:textId="77777777" w:rsidR="002608A5" w:rsidRPr="001770D3" w:rsidRDefault="002608A5" w:rsidP="002608A5">
      <w:pPr>
        <w:pStyle w:val="ListParagraph"/>
        <w:numPr>
          <w:ilvl w:val="0"/>
          <w:numId w:val="11"/>
        </w:numPr>
        <w:shd w:val="clear" w:color="auto" w:fill="FFFFFF"/>
        <w:spacing w:after="0" w:line="240" w:lineRule="auto"/>
        <w:ind w:left="450" w:hanging="450"/>
        <w:jc w:val="both"/>
        <w:rPr>
          <w:rFonts w:ascii="Times New Roman" w:eastAsia="Times New Roman" w:hAnsi="Times New Roman" w:cs="Times New Roman"/>
          <w:color w:val="222222"/>
          <w:sz w:val="24"/>
          <w:szCs w:val="24"/>
        </w:rPr>
      </w:pPr>
      <w:r w:rsidRPr="00402358">
        <w:rPr>
          <w:rFonts w:ascii="Arial" w:eastAsia="Times New Roman" w:hAnsi="Arial" w:cs="Arial"/>
          <w:color w:val="000000"/>
          <w:sz w:val="20"/>
          <w:szCs w:val="20"/>
        </w:rPr>
        <w:t>Documents indicating that the applicant has invested and conducted business in Vietnam and wants to produce products related to the patent application in order to create jobs for Vietnamese citizens and contribute to the national economic development, etc.</w:t>
      </w:r>
      <w:r w:rsidRPr="001770D3">
        <w:rPr>
          <w:rFonts w:ascii="Arial" w:eastAsia="Times New Roman" w:hAnsi="Arial" w:cs="Arial"/>
          <w:color w:val="000000"/>
          <w:sz w:val="20"/>
          <w:szCs w:val="20"/>
        </w:rPr>
        <w:t>;</w:t>
      </w:r>
    </w:p>
    <w:p w14:paraId="7FE9426A" w14:textId="77777777" w:rsidR="002608A5" w:rsidRPr="00402358" w:rsidRDefault="002608A5" w:rsidP="002608A5">
      <w:pPr>
        <w:shd w:val="clear" w:color="auto" w:fill="FFFFFF"/>
        <w:spacing w:after="0" w:line="240" w:lineRule="auto"/>
        <w:ind w:left="450" w:hanging="450"/>
        <w:jc w:val="both"/>
        <w:rPr>
          <w:rFonts w:ascii="Times New Roman" w:eastAsia="Times New Roman" w:hAnsi="Times New Roman" w:cs="Times New Roman"/>
          <w:color w:val="222222"/>
          <w:sz w:val="24"/>
          <w:szCs w:val="24"/>
        </w:rPr>
      </w:pPr>
    </w:p>
    <w:p w14:paraId="32A5CEC6" w14:textId="77777777" w:rsidR="002608A5" w:rsidRPr="001770D3" w:rsidRDefault="002608A5" w:rsidP="002608A5">
      <w:pPr>
        <w:pStyle w:val="ListParagraph"/>
        <w:numPr>
          <w:ilvl w:val="0"/>
          <w:numId w:val="11"/>
        </w:numPr>
        <w:shd w:val="clear" w:color="auto" w:fill="FFFFFF"/>
        <w:spacing w:after="0" w:line="240" w:lineRule="auto"/>
        <w:ind w:left="450" w:hanging="450"/>
        <w:jc w:val="both"/>
        <w:rPr>
          <w:rFonts w:ascii="Times New Roman" w:eastAsia="Times New Roman" w:hAnsi="Times New Roman" w:cs="Times New Roman"/>
          <w:color w:val="222222"/>
          <w:sz w:val="24"/>
          <w:szCs w:val="24"/>
        </w:rPr>
      </w:pPr>
      <w:r w:rsidRPr="001770D3">
        <w:rPr>
          <w:rFonts w:ascii="Arial" w:eastAsia="Times New Roman" w:hAnsi="Arial" w:cs="Arial"/>
          <w:color w:val="000000"/>
          <w:sz w:val="20"/>
          <w:szCs w:val="20"/>
        </w:rPr>
        <w:t>Information about the counterpart (</w:t>
      </w:r>
      <w:r w:rsidRPr="001770D3">
        <w:rPr>
          <w:rFonts w:ascii="Arial" w:eastAsia="Times New Roman" w:hAnsi="Arial" w:cs="Arial"/>
          <w:i/>
          <w:iCs/>
          <w:color w:val="000000"/>
          <w:sz w:val="20"/>
          <w:szCs w:val="20"/>
        </w:rPr>
        <w:t>an application is substantially similar to the present patent application</w:t>
      </w:r>
      <w:r w:rsidRPr="001770D3">
        <w:rPr>
          <w:rFonts w:ascii="Arial" w:eastAsia="Times New Roman" w:hAnsi="Arial" w:cs="Arial"/>
          <w:color w:val="000000"/>
          <w:sz w:val="20"/>
          <w:szCs w:val="20"/>
        </w:rPr>
        <w:t xml:space="preserve">) which has been granted in some developed countries and jurisdiction such as China, Korea, Japan, the United States of America or by </w:t>
      </w:r>
      <w:r>
        <w:rPr>
          <w:rFonts w:ascii="Arial" w:eastAsia="Times New Roman" w:hAnsi="Arial" w:cs="Arial"/>
          <w:color w:val="000000"/>
          <w:sz w:val="20"/>
          <w:szCs w:val="20"/>
        </w:rPr>
        <w:t xml:space="preserve">the </w:t>
      </w:r>
      <w:r w:rsidRPr="001770D3">
        <w:rPr>
          <w:rFonts w:ascii="Arial" w:eastAsia="Times New Roman" w:hAnsi="Arial" w:cs="Arial"/>
          <w:color w:val="000000"/>
          <w:sz w:val="20"/>
          <w:szCs w:val="20"/>
        </w:rPr>
        <w:t>European Patent Office, etc.</w:t>
      </w:r>
    </w:p>
    <w:p w14:paraId="1DFA5BEC" w14:textId="77777777" w:rsidR="002608A5" w:rsidRPr="00650CCB" w:rsidRDefault="002608A5" w:rsidP="002608A5">
      <w:pPr>
        <w:spacing w:after="0" w:line="240" w:lineRule="auto"/>
        <w:jc w:val="both"/>
        <w:rPr>
          <w:rFonts w:ascii="Arial" w:hAnsi="Arial" w:cs="Arial"/>
          <w:sz w:val="20"/>
          <w:szCs w:val="20"/>
        </w:rPr>
      </w:pPr>
      <w:bookmarkStart w:id="0" w:name="_GoBack"/>
      <w:bookmarkEnd w:id="0"/>
    </w:p>
    <w:p w14:paraId="28A525FB" w14:textId="77777777" w:rsidR="002608A5" w:rsidRDefault="002608A5" w:rsidP="002608A5">
      <w:pPr>
        <w:spacing w:after="0" w:line="240" w:lineRule="auto"/>
        <w:jc w:val="both"/>
        <w:rPr>
          <w:rFonts w:ascii="Arial" w:hAnsi="Arial" w:cs="Arial"/>
          <w:sz w:val="20"/>
          <w:szCs w:val="20"/>
        </w:rPr>
      </w:pPr>
    </w:p>
    <w:p w14:paraId="62AEDF54" w14:textId="77777777" w:rsidR="002608A5" w:rsidRPr="00925E49" w:rsidDel="00F60CD0" w:rsidRDefault="002608A5" w:rsidP="002608A5">
      <w:pPr>
        <w:spacing w:after="0" w:line="240" w:lineRule="auto"/>
        <w:jc w:val="both"/>
        <w:rPr>
          <w:rFonts w:ascii="Arial" w:hAnsi="Arial" w:cs="Arial"/>
          <w:b/>
          <w:bCs/>
          <w:color w:val="2F5496" w:themeColor="accent1" w:themeShade="BF"/>
          <w:sz w:val="20"/>
          <w:szCs w:val="20"/>
        </w:rPr>
      </w:pPr>
      <w:r w:rsidRPr="00925E49" w:rsidDel="00F60CD0">
        <w:rPr>
          <w:rFonts w:ascii="Arial" w:hAnsi="Arial" w:cs="Arial"/>
          <w:b/>
          <w:bCs/>
          <w:color w:val="2F5496" w:themeColor="accent1" w:themeShade="BF"/>
          <w:sz w:val="20"/>
          <w:szCs w:val="20"/>
        </w:rPr>
        <w:t>II. Accelerated examination by using the Patent Prosecution Highway (PPH)</w:t>
      </w:r>
    </w:p>
    <w:p w14:paraId="69BA8EDA" w14:textId="77777777" w:rsidR="002608A5" w:rsidRPr="00650CCB" w:rsidRDefault="002608A5" w:rsidP="002608A5">
      <w:pPr>
        <w:spacing w:after="0" w:line="240" w:lineRule="auto"/>
        <w:jc w:val="both"/>
        <w:rPr>
          <w:rFonts w:ascii="Arial" w:hAnsi="Arial" w:cs="Arial"/>
          <w:b/>
          <w:bCs/>
          <w:sz w:val="20"/>
          <w:szCs w:val="20"/>
        </w:rPr>
      </w:pPr>
    </w:p>
    <w:p w14:paraId="35072C45" w14:textId="77777777" w:rsidR="002608A5" w:rsidRPr="00650CCB" w:rsidRDefault="002608A5" w:rsidP="002608A5">
      <w:pPr>
        <w:spacing w:after="0" w:line="240" w:lineRule="auto"/>
        <w:jc w:val="both"/>
        <w:rPr>
          <w:rFonts w:ascii="Arial" w:hAnsi="Arial" w:cs="Arial"/>
          <w:b/>
          <w:bCs/>
          <w:sz w:val="20"/>
          <w:szCs w:val="20"/>
        </w:rPr>
      </w:pPr>
      <w:r w:rsidRPr="00650CCB">
        <w:rPr>
          <w:rFonts w:ascii="Arial" w:hAnsi="Arial" w:cs="Arial"/>
          <w:b/>
          <w:bCs/>
          <w:sz w:val="20"/>
          <w:szCs w:val="20"/>
        </w:rPr>
        <w:t>1. What is the PPH?</w:t>
      </w:r>
    </w:p>
    <w:p w14:paraId="6F3A1C32" w14:textId="77777777" w:rsidR="002608A5" w:rsidRPr="00650CCB" w:rsidRDefault="002608A5" w:rsidP="002608A5">
      <w:pPr>
        <w:spacing w:after="0" w:line="240" w:lineRule="auto"/>
        <w:jc w:val="both"/>
        <w:rPr>
          <w:rFonts w:ascii="Arial" w:hAnsi="Arial" w:cs="Arial"/>
          <w:sz w:val="20"/>
          <w:szCs w:val="20"/>
        </w:rPr>
      </w:pPr>
    </w:p>
    <w:p w14:paraId="23588ECB" w14:textId="77777777" w:rsidR="002608A5" w:rsidRPr="00650CCB" w:rsidRDefault="002608A5" w:rsidP="002608A5">
      <w:pPr>
        <w:spacing w:after="0" w:line="240" w:lineRule="auto"/>
        <w:jc w:val="both"/>
        <w:rPr>
          <w:rFonts w:ascii="Arial" w:hAnsi="Arial" w:cs="Arial"/>
          <w:sz w:val="20"/>
          <w:szCs w:val="20"/>
        </w:rPr>
      </w:pPr>
      <w:r w:rsidRPr="00650CCB">
        <w:rPr>
          <w:rFonts w:ascii="Arial" w:hAnsi="Arial" w:cs="Arial"/>
          <w:sz w:val="20"/>
          <w:szCs w:val="20"/>
        </w:rPr>
        <w:t xml:space="preserve">The PPH is an initiative between certain national IP offices which provides a means of significantly accelerating the examination of a patent application in one IP office where examination work has already been conducted at another IP office. In other words, the PPH enables an application whose claims have been determined to be patentable in the office of first filing to undergo an accelerated examination in the office of second filing with a simple procedure upon a request from an applicant on the basis of bilateral office agreements. It also allows sharing information between involved IP offices. </w:t>
      </w:r>
    </w:p>
    <w:p w14:paraId="176AD97D" w14:textId="77777777" w:rsidR="002608A5" w:rsidRPr="00650CCB" w:rsidRDefault="002608A5" w:rsidP="002608A5">
      <w:pPr>
        <w:spacing w:after="0" w:line="240" w:lineRule="auto"/>
        <w:jc w:val="both"/>
        <w:rPr>
          <w:rFonts w:ascii="Arial" w:hAnsi="Arial" w:cs="Arial"/>
          <w:sz w:val="20"/>
          <w:szCs w:val="20"/>
        </w:rPr>
      </w:pPr>
    </w:p>
    <w:p w14:paraId="79265EC8" w14:textId="77777777" w:rsidR="002608A5" w:rsidRPr="00650CCB" w:rsidRDefault="002608A5" w:rsidP="002608A5">
      <w:pPr>
        <w:spacing w:after="0" w:line="240" w:lineRule="auto"/>
        <w:jc w:val="both"/>
        <w:rPr>
          <w:rFonts w:ascii="Arial" w:hAnsi="Arial" w:cs="Arial"/>
          <w:sz w:val="20"/>
          <w:szCs w:val="20"/>
        </w:rPr>
      </w:pPr>
      <w:r w:rsidRPr="00650CCB">
        <w:rPr>
          <w:rFonts w:ascii="Arial" w:hAnsi="Arial" w:cs="Arial"/>
          <w:sz w:val="20"/>
          <w:szCs w:val="20"/>
        </w:rPr>
        <w:t>Currently, there are two PPH pilot programs including:</w:t>
      </w:r>
    </w:p>
    <w:p w14:paraId="500F1EB5" w14:textId="77777777" w:rsidR="002608A5" w:rsidRPr="00650CCB" w:rsidRDefault="002608A5" w:rsidP="002608A5">
      <w:pPr>
        <w:spacing w:after="0" w:line="240" w:lineRule="auto"/>
        <w:jc w:val="both"/>
        <w:rPr>
          <w:rFonts w:ascii="Arial" w:hAnsi="Arial" w:cs="Arial"/>
          <w:sz w:val="20"/>
          <w:szCs w:val="20"/>
        </w:rPr>
      </w:pPr>
    </w:p>
    <w:p w14:paraId="6F19EFED" w14:textId="77777777" w:rsidR="002608A5" w:rsidRPr="001770D3" w:rsidRDefault="002608A5" w:rsidP="002608A5">
      <w:pPr>
        <w:pStyle w:val="ListParagraph"/>
        <w:numPr>
          <w:ilvl w:val="0"/>
          <w:numId w:val="10"/>
        </w:numPr>
        <w:spacing w:after="0" w:line="240" w:lineRule="auto"/>
        <w:ind w:left="270" w:hanging="270"/>
        <w:jc w:val="both"/>
        <w:rPr>
          <w:rFonts w:ascii="Arial" w:hAnsi="Arial" w:cs="Arial"/>
          <w:sz w:val="20"/>
          <w:szCs w:val="20"/>
        </w:rPr>
      </w:pPr>
      <w:r w:rsidRPr="001770D3">
        <w:rPr>
          <w:rFonts w:ascii="Arial" w:hAnsi="Arial" w:cs="Arial"/>
          <w:sz w:val="20"/>
          <w:szCs w:val="20"/>
        </w:rPr>
        <w:t xml:space="preserve">The </w:t>
      </w:r>
      <w:r>
        <w:rPr>
          <w:rFonts w:ascii="Arial" w:hAnsi="Arial" w:cs="Arial"/>
          <w:sz w:val="20"/>
          <w:szCs w:val="20"/>
        </w:rPr>
        <w:t>VNIPO</w:t>
      </w:r>
      <w:r w:rsidRPr="001770D3">
        <w:rPr>
          <w:rFonts w:ascii="Arial" w:hAnsi="Arial" w:cs="Arial"/>
          <w:sz w:val="20"/>
          <w:szCs w:val="20"/>
        </w:rPr>
        <w:t>-JPO PPH pilot program is the 3-year period program established between IPVN and JPO with 200 patent cases per year divided into 02 stages in which 100 cases will be received by IPVN from 1st April, and the next 100 cases will be received from 1st October. The latest PPH pilot period has been approved to be extended for 3 years from 01 April 2022 to 31 March 2025.</w:t>
      </w:r>
    </w:p>
    <w:p w14:paraId="51163FB2" w14:textId="77777777" w:rsidR="002608A5" w:rsidRPr="00650CCB" w:rsidRDefault="002608A5" w:rsidP="002608A5">
      <w:pPr>
        <w:spacing w:after="0" w:line="240" w:lineRule="auto"/>
        <w:ind w:left="270" w:hanging="270"/>
        <w:jc w:val="both"/>
        <w:rPr>
          <w:rFonts w:ascii="Arial" w:hAnsi="Arial" w:cs="Arial"/>
          <w:sz w:val="20"/>
          <w:szCs w:val="20"/>
        </w:rPr>
      </w:pPr>
    </w:p>
    <w:p w14:paraId="5D967F61" w14:textId="77777777" w:rsidR="002608A5" w:rsidRPr="001770D3" w:rsidRDefault="002608A5" w:rsidP="002608A5">
      <w:pPr>
        <w:pStyle w:val="ListParagraph"/>
        <w:numPr>
          <w:ilvl w:val="0"/>
          <w:numId w:val="10"/>
        </w:numPr>
        <w:spacing w:after="0" w:line="240" w:lineRule="auto"/>
        <w:ind w:left="270" w:hanging="270"/>
        <w:jc w:val="both"/>
        <w:rPr>
          <w:rFonts w:ascii="Arial" w:hAnsi="Arial" w:cs="Arial"/>
          <w:sz w:val="20"/>
          <w:szCs w:val="20"/>
        </w:rPr>
      </w:pPr>
      <w:r w:rsidRPr="001770D3">
        <w:rPr>
          <w:rFonts w:ascii="Arial" w:hAnsi="Arial" w:cs="Arial"/>
          <w:sz w:val="20"/>
          <w:szCs w:val="20"/>
        </w:rPr>
        <w:t xml:space="preserve">The </w:t>
      </w:r>
      <w:r>
        <w:rPr>
          <w:rFonts w:ascii="Arial" w:hAnsi="Arial" w:cs="Arial"/>
          <w:sz w:val="20"/>
          <w:szCs w:val="20"/>
        </w:rPr>
        <w:t>VNIPO-</w:t>
      </w:r>
      <w:r w:rsidRPr="001770D3">
        <w:rPr>
          <w:rFonts w:ascii="Arial" w:hAnsi="Arial" w:cs="Arial"/>
          <w:sz w:val="20"/>
          <w:szCs w:val="20"/>
        </w:rPr>
        <w:t>KIPO PPH pilot program is the 2-year period program established between IPVN and KIPO with 100 patent cases per year. The latest PPH pilot period has been approved to be extended for 2 years from 01 April 2022 to 31 March 2025.</w:t>
      </w:r>
    </w:p>
    <w:p w14:paraId="71A1A5C5" w14:textId="1C606E1F" w:rsidR="002608A5" w:rsidRPr="00650CCB" w:rsidRDefault="002608A5" w:rsidP="002608A5">
      <w:pPr>
        <w:spacing w:after="0" w:line="240" w:lineRule="auto"/>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5408" behindDoc="0" locked="0" layoutInCell="1" allowOverlap="1" wp14:anchorId="3A6D63CB" wp14:editId="67E8DC4D">
                <wp:simplePos x="0" y="0"/>
                <wp:positionH relativeFrom="column">
                  <wp:posOffset>6347460</wp:posOffset>
                </wp:positionH>
                <wp:positionV relativeFrom="paragraph">
                  <wp:posOffset>-577215</wp:posOffset>
                </wp:positionV>
                <wp:extent cx="323850" cy="10572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FE360" w14:textId="77777777" w:rsidR="002608A5" w:rsidRDefault="002608A5" w:rsidP="002608A5">
                            <w:pPr>
                              <w:spacing w:after="0" w:line="240" w:lineRule="auto"/>
                              <w:jc w:val="center"/>
                              <w:rPr>
                                <w:rFonts w:ascii="Arial" w:hAnsi="Arial" w:cs="Arial"/>
                                <w:color w:val="FFFFFF" w:themeColor="background1"/>
                              </w:rPr>
                            </w:pPr>
                          </w:p>
                          <w:p w14:paraId="6272C279" w14:textId="77777777" w:rsidR="002608A5" w:rsidRDefault="002608A5" w:rsidP="002608A5">
                            <w:pPr>
                              <w:spacing w:after="0" w:line="240" w:lineRule="auto"/>
                              <w:jc w:val="center"/>
                              <w:rPr>
                                <w:rFonts w:ascii="Arial" w:hAnsi="Arial" w:cs="Arial"/>
                                <w:color w:val="FFFFFF" w:themeColor="background1"/>
                                <w:sz w:val="20"/>
                                <w:szCs w:val="20"/>
                              </w:rPr>
                            </w:pPr>
                          </w:p>
                          <w:p w14:paraId="679B8BAC" w14:textId="77777777" w:rsidR="002608A5" w:rsidRPr="008E758C" w:rsidRDefault="002608A5" w:rsidP="002608A5">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8E758C">
                              <w:rPr>
                                <w:rFonts w:ascii="Arial" w:hAnsi="Arial" w:cs="Arial"/>
                                <w:b/>
                                <w:color w:val="FFFFFF" w:themeColor="background1"/>
                                <w:sz w:val="18"/>
                                <w:szCs w:val="18"/>
                              </w:rPr>
                              <w:t>Accelerating patent examination in Vietnam</w:t>
                            </w:r>
                          </w:p>
                          <w:p w14:paraId="554A3F04" w14:textId="77777777" w:rsidR="002608A5" w:rsidRDefault="002608A5" w:rsidP="002608A5">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499.8pt;margin-top:-45.45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" fillcolor="#00b39c" strokecolor="#00b39c" strokeweight="1pt">
                <v:textbox style="layout-flow:vertical">
                  <w:txbxContent>
                    <w:p w14:paraId="5F6FE360" w14:textId="77777777" w:rsidR="002608A5" w:rsidRDefault="002608A5" w:rsidP="002608A5">
                      <w:pPr>
                        <w:spacing w:after="0" w:line="240" w:lineRule="auto"/>
                        <w:jc w:val="center"/>
                        <w:rPr>
                          <w:rFonts w:ascii="Arial" w:hAnsi="Arial" w:cs="Arial"/>
                          <w:color w:val="FFFFFF" w:themeColor="background1"/>
                        </w:rPr>
                      </w:pPr>
                    </w:p>
                    <w:p w14:paraId="6272C279" w14:textId="77777777" w:rsidR="002608A5" w:rsidRDefault="002608A5" w:rsidP="002608A5">
                      <w:pPr>
                        <w:spacing w:after="0" w:line="240" w:lineRule="auto"/>
                        <w:jc w:val="center"/>
                        <w:rPr>
                          <w:rFonts w:ascii="Arial" w:hAnsi="Arial" w:cs="Arial"/>
                          <w:color w:val="FFFFFF" w:themeColor="background1"/>
                          <w:sz w:val="20"/>
                          <w:szCs w:val="20"/>
                        </w:rPr>
                      </w:pPr>
                    </w:p>
                    <w:p w14:paraId="679B8BAC" w14:textId="77777777" w:rsidR="002608A5" w:rsidRPr="008E758C" w:rsidRDefault="002608A5" w:rsidP="002608A5">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8E758C">
                        <w:rPr>
                          <w:rFonts w:ascii="Arial" w:hAnsi="Arial" w:cs="Arial"/>
                          <w:b/>
                          <w:color w:val="FFFFFF" w:themeColor="background1"/>
                          <w:sz w:val="18"/>
                          <w:szCs w:val="18"/>
                        </w:rPr>
                        <w:t>Accelerating patent examination in Vietnam</w:t>
                      </w:r>
                    </w:p>
                    <w:p w14:paraId="554A3F04" w14:textId="77777777" w:rsidR="002608A5" w:rsidRDefault="002608A5" w:rsidP="002608A5">
                      <w:pPr>
                        <w:jc w:val="center"/>
                      </w:pPr>
                    </w:p>
                  </w:txbxContent>
                </v:textbox>
              </v:rect>
            </w:pict>
          </mc:Fallback>
        </mc:AlternateContent>
      </w:r>
    </w:p>
    <w:p w14:paraId="6161683B" w14:textId="77777777" w:rsidR="002608A5" w:rsidRPr="00650CCB" w:rsidRDefault="002608A5" w:rsidP="002608A5">
      <w:pPr>
        <w:spacing w:after="0" w:line="240" w:lineRule="auto"/>
        <w:jc w:val="both"/>
        <w:rPr>
          <w:rFonts w:ascii="Arial" w:hAnsi="Arial" w:cs="Arial"/>
          <w:b/>
          <w:bCs/>
          <w:sz w:val="20"/>
          <w:szCs w:val="20"/>
        </w:rPr>
      </w:pPr>
      <w:r w:rsidRPr="00650CCB">
        <w:rPr>
          <w:rFonts w:ascii="Arial" w:hAnsi="Arial" w:cs="Arial"/>
          <w:b/>
          <w:bCs/>
          <w:sz w:val="20"/>
          <w:szCs w:val="20"/>
        </w:rPr>
        <w:t>2. Some key notes</w:t>
      </w:r>
    </w:p>
    <w:p w14:paraId="70E88E66" w14:textId="77777777" w:rsidR="002608A5" w:rsidRPr="00650CCB" w:rsidRDefault="002608A5" w:rsidP="002608A5">
      <w:pPr>
        <w:spacing w:after="0" w:line="240" w:lineRule="auto"/>
        <w:jc w:val="both"/>
        <w:rPr>
          <w:rFonts w:ascii="Arial" w:hAnsi="Arial" w:cs="Arial"/>
          <w:b/>
          <w:bCs/>
          <w:sz w:val="20"/>
          <w:szCs w:val="20"/>
        </w:rPr>
      </w:pPr>
    </w:p>
    <w:p w14:paraId="24ABDFA2" w14:textId="77777777" w:rsidR="002608A5" w:rsidRPr="00650CCB" w:rsidRDefault="002608A5" w:rsidP="002608A5">
      <w:pPr>
        <w:pStyle w:val="ListParagraph"/>
        <w:numPr>
          <w:ilvl w:val="0"/>
          <w:numId w:val="9"/>
        </w:numPr>
        <w:spacing w:after="0" w:line="240" w:lineRule="auto"/>
        <w:ind w:left="360"/>
        <w:jc w:val="both"/>
        <w:rPr>
          <w:rStyle w:val="fontstyle01"/>
          <w:rFonts w:ascii="Arial" w:hAnsi="Arial" w:cs="Arial"/>
          <w:sz w:val="20"/>
          <w:szCs w:val="20"/>
        </w:rPr>
      </w:pPr>
      <w:r w:rsidRPr="00650CCB">
        <w:rPr>
          <w:rStyle w:val="fontstyle01"/>
          <w:rFonts w:ascii="Arial" w:hAnsi="Arial" w:cs="Arial"/>
          <w:sz w:val="20"/>
          <w:szCs w:val="20"/>
        </w:rPr>
        <w:t xml:space="preserve">The substantive examination stage would statutorily take around 18 months from the date on which a request for substantive examination is filed or from the date of the application publication, whichever comes later. By means of the PPH program, the duration for such substantive examination can be shortened to 9-12 months computed from the filing date of a PPH request. </w:t>
      </w:r>
    </w:p>
    <w:p w14:paraId="70AF1800" w14:textId="77777777" w:rsidR="002608A5" w:rsidRPr="00650CCB" w:rsidRDefault="002608A5" w:rsidP="002608A5">
      <w:pPr>
        <w:pStyle w:val="ListParagraph"/>
        <w:numPr>
          <w:ilvl w:val="0"/>
          <w:numId w:val="9"/>
        </w:numPr>
        <w:spacing w:after="0" w:line="240" w:lineRule="auto"/>
        <w:ind w:left="360"/>
        <w:jc w:val="both"/>
        <w:rPr>
          <w:rStyle w:val="fontstyle01"/>
          <w:rFonts w:ascii="Arial" w:hAnsi="Arial" w:cs="Arial"/>
          <w:sz w:val="20"/>
          <w:szCs w:val="20"/>
        </w:rPr>
      </w:pPr>
      <w:r w:rsidRPr="00650CCB">
        <w:rPr>
          <w:rStyle w:val="fontstyle01"/>
          <w:rFonts w:ascii="Arial" w:hAnsi="Arial" w:cs="Arial"/>
          <w:sz w:val="20"/>
          <w:szCs w:val="20"/>
        </w:rPr>
        <w:t xml:space="preserve">When filing a request for the PPH pilot program, applicants must submit a request form to </w:t>
      </w:r>
      <w:r>
        <w:rPr>
          <w:rStyle w:val="fontstyle01"/>
          <w:rFonts w:ascii="Arial" w:hAnsi="Arial" w:cs="Arial"/>
          <w:sz w:val="20"/>
          <w:szCs w:val="20"/>
        </w:rPr>
        <w:t>VNIPO</w:t>
      </w:r>
      <w:r w:rsidRPr="00650CCB">
        <w:rPr>
          <w:rStyle w:val="fontstyle01"/>
          <w:rFonts w:ascii="Arial" w:hAnsi="Arial" w:cs="Arial"/>
          <w:sz w:val="20"/>
          <w:szCs w:val="20"/>
        </w:rPr>
        <w:t>.</w:t>
      </w:r>
    </w:p>
    <w:p w14:paraId="0838A327" w14:textId="77777777" w:rsidR="002608A5" w:rsidRPr="00650CCB" w:rsidRDefault="002608A5" w:rsidP="002608A5">
      <w:pPr>
        <w:pStyle w:val="ListParagraph"/>
        <w:numPr>
          <w:ilvl w:val="0"/>
          <w:numId w:val="9"/>
        </w:numPr>
        <w:spacing w:after="0" w:line="240" w:lineRule="auto"/>
        <w:ind w:left="360"/>
        <w:jc w:val="both"/>
        <w:rPr>
          <w:rStyle w:val="fontstyle01"/>
          <w:rFonts w:ascii="Arial" w:hAnsi="Arial" w:cs="Arial"/>
          <w:sz w:val="20"/>
          <w:szCs w:val="20"/>
        </w:rPr>
      </w:pPr>
      <w:r w:rsidRPr="00650CCB">
        <w:rPr>
          <w:rStyle w:val="fontstyle01"/>
          <w:rFonts w:ascii="Arial" w:hAnsi="Arial" w:cs="Arial"/>
          <w:sz w:val="20"/>
          <w:szCs w:val="20"/>
        </w:rPr>
        <w:t>The Offices may terminate the PPH pilot program if the volume of PPH request exceeds the prescribed number per year, or for any other reason. A prior notice will be published if the PPH pilot program is terminated.</w:t>
      </w:r>
    </w:p>
    <w:p w14:paraId="7FD7B8E6" w14:textId="77777777" w:rsidR="002608A5" w:rsidRPr="004C10CA" w:rsidRDefault="002608A5" w:rsidP="002608A5">
      <w:pPr>
        <w:pStyle w:val="ListParagraph"/>
        <w:numPr>
          <w:ilvl w:val="0"/>
          <w:numId w:val="9"/>
        </w:numPr>
        <w:spacing w:after="0" w:line="240" w:lineRule="auto"/>
        <w:ind w:left="360"/>
        <w:jc w:val="both"/>
        <w:rPr>
          <w:rStyle w:val="fontstyle01"/>
          <w:rFonts w:ascii="Arial" w:hAnsi="Arial" w:cs="Arial"/>
          <w:sz w:val="20"/>
          <w:szCs w:val="20"/>
        </w:rPr>
      </w:pPr>
      <w:r w:rsidRPr="00650CCB">
        <w:rPr>
          <w:rStyle w:val="fontstyle01"/>
          <w:rFonts w:ascii="Arial" w:hAnsi="Arial" w:cs="Arial"/>
          <w:sz w:val="20"/>
          <w:szCs w:val="20"/>
        </w:rPr>
        <w:t>When the duration of the PPH pilot program</w:t>
      </w:r>
      <w:r w:rsidRPr="001770D3">
        <w:rPr>
          <w:rFonts w:ascii="Arial" w:hAnsi="Arial" w:cs="Arial"/>
          <w:sz w:val="20"/>
          <w:szCs w:val="20"/>
        </w:rPr>
        <w:t xml:space="preserve"> </w:t>
      </w:r>
      <w:r w:rsidRPr="004C10CA">
        <w:rPr>
          <w:rStyle w:val="fontstyle01"/>
          <w:rFonts w:ascii="Arial" w:hAnsi="Arial" w:cs="Arial"/>
          <w:sz w:val="20"/>
          <w:szCs w:val="20"/>
        </w:rPr>
        <w:t>is expired</w:t>
      </w:r>
      <w:r w:rsidRPr="00650CCB">
        <w:rPr>
          <w:rStyle w:val="fontstyle01"/>
          <w:rFonts w:ascii="Arial" w:hAnsi="Arial" w:cs="Arial"/>
          <w:sz w:val="20"/>
          <w:szCs w:val="20"/>
        </w:rPr>
        <w:t xml:space="preserve">, the PPH pilot program may be extended after undergoing the review and assessment of the program implementation by the </w:t>
      </w:r>
      <w:r w:rsidRPr="001770D3">
        <w:rPr>
          <w:rStyle w:val="q4iawc"/>
          <w:rFonts w:ascii="Arial" w:hAnsi="Arial" w:cs="Arial"/>
          <w:sz w:val="20"/>
          <w:szCs w:val="20"/>
          <w:lang w:val="en"/>
        </w:rPr>
        <w:t xml:space="preserve">relevant </w:t>
      </w:r>
      <w:r w:rsidRPr="004C10CA">
        <w:rPr>
          <w:rStyle w:val="fontstyle01"/>
          <w:rFonts w:ascii="Arial" w:hAnsi="Arial" w:cs="Arial"/>
          <w:sz w:val="20"/>
          <w:szCs w:val="20"/>
        </w:rPr>
        <w:t>Offices.</w:t>
      </w:r>
    </w:p>
    <w:p w14:paraId="11DD566E" w14:textId="77777777" w:rsidR="002608A5" w:rsidRPr="00650CCB" w:rsidRDefault="002608A5" w:rsidP="002608A5">
      <w:pPr>
        <w:pStyle w:val="ListParagraph"/>
        <w:numPr>
          <w:ilvl w:val="0"/>
          <w:numId w:val="9"/>
        </w:numPr>
        <w:spacing w:after="0" w:line="240" w:lineRule="auto"/>
        <w:ind w:left="360"/>
        <w:jc w:val="both"/>
        <w:rPr>
          <w:rStyle w:val="fontstyle01"/>
          <w:rFonts w:ascii="Arial" w:hAnsi="Arial" w:cs="Arial"/>
          <w:sz w:val="20"/>
          <w:szCs w:val="20"/>
        </w:rPr>
      </w:pPr>
      <w:r w:rsidRPr="00650CCB">
        <w:rPr>
          <w:rFonts w:ascii="Arial" w:hAnsi="Arial" w:cs="Arial"/>
          <w:color w:val="000000"/>
          <w:sz w:val="20"/>
          <w:szCs w:val="20"/>
        </w:rPr>
        <w:t>The pilot program is not applicable on the basis of JPO ‘utility model’ applications.</w:t>
      </w:r>
    </w:p>
    <w:p w14:paraId="73496BA3" w14:textId="77777777" w:rsidR="002608A5" w:rsidRPr="00650CCB" w:rsidRDefault="002608A5" w:rsidP="002608A5">
      <w:pPr>
        <w:spacing w:after="0" w:line="240" w:lineRule="auto"/>
        <w:jc w:val="both"/>
        <w:rPr>
          <w:rFonts w:ascii="Arial" w:hAnsi="Arial" w:cs="Arial"/>
          <w:sz w:val="20"/>
          <w:szCs w:val="20"/>
        </w:rPr>
      </w:pPr>
    </w:p>
    <w:p w14:paraId="62B33676" w14:textId="77777777" w:rsidR="002608A5" w:rsidRPr="00650CCB" w:rsidRDefault="002608A5" w:rsidP="002608A5">
      <w:pPr>
        <w:spacing w:after="0" w:line="240" w:lineRule="auto"/>
        <w:jc w:val="both"/>
        <w:rPr>
          <w:rFonts w:ascii="Arial" w:hAnsi="Arial" w:cs="Arial"/>
          <w:b/>
          <w:bCs/>
          <w:sz w:val="20"/>
          <w:szCs w:val="20"/>
        </w:rPr>
      </w:pPr>
      <w:r w:rsidRPr="00650CCB">
        <w:rPr>
          <w:rFonts w:ascii="Arial" w:hAnsi="Arial" w:cs="Arial"/>
          <w:b/>
          <w:bCs/>
          <w:sz w:val="20"/>
          <w:szCs w:val="20"/>
        </w:rPr>
        <w:t>3. What is the requirement for the PPH?</w:t>
      </w:r>
    </w:p>
    <w:p w14:paraId="103D3C70" w14:textId="77777777" w:rsidR="002608A5" w:rsidRPr="00650CCB" w:rsidRDefault="002608A5" w:rsidP="002608A5">
      <w:pPr>
        <w:spacing w:after="0" w:line="240" w:lineRule="auto"/>
        <w:jc w:val="both"/>
        <w:rPr>
          <w:rFonts w:ascii="Arial" w:hAnsi="Arial" w:cs="Arial"/>
          <w:sz w:val="20"/>
          <w:szCs w:val="20"/>
        </w:rPr>
      </w:pPr>
    </w:p>
    <w:p w14:paraId="184459ED" w14:textId="77777777" w:rsidR="002608A5" w:rsidRPr="00650CCB" w:rsidRDefault="002608A5" w:rsidP="002608A5">
      <w:pPr>
        <w:spacing w:after="0" w:line="240" w:lineRule="auto"/>
        <w:jc w:val="both"/>
        <w:rPr>
          <w:rFonts w:ascii="Arial" w:hAnsi="Arial" w:cs="Arial"/>
          <w:sz w:val="20"/>
          <w:szCs w:val="20"/>
        </w:rPr>
      </w:pPr>
      <w:r w:rsidRPr="00650CCB">
        <w:rPr>
          <w:rFonts w:ascii="Arial" w:hAnsi="Arial" w:cs="Arial"/>
          <w:sz w:val="20"/>
          <w:szCs w:val="20"/>
        </w:rPr>
        <w:t>Generally, in order for a patent application to participate in the PPH program, the following requirements on the application need to be met:</w:t>
      </w:r>
    </w:p>
    <w:p w14:paraId="113A8648" w14:textId="77777777" w:rsidR="002608A5" w:rsidRPr="00650CCB" w:rsidRDefault="002608A5" w:rsidP="002608A5">
      <w:pPr>
        <w:spacing w:after="0" w:line="240" w:lineRule="auto"/>
        <w:jc w:val="both"/>
        <w:rPr>
          <w:rFonts w:ascii="Arial" w:hAnsi="Arial" w:cs="Arial"/>
          <w:sz w:val="20"/>
          <w:szCs w:val="20"/>
        </w:rPr>
      </w:pPr>
    </w:p>
    <w:p w14:paraId="0D3E3FF1" w14:textId="77777777" w:rsidR="002608A5" w:rsidRPr="00650CCB" w:rsidRDefault="002608A5" w:rsidP="002608A5">
      <w:pPr>
        <w:spacing w:after="0" w:line="240" w:lineRule="auto"/>
        <w:jc w:val="both"/>
        <w:rPr>
          <w:rFonts w:ascii="Arial" w:hAnsi="Arial" w:cs="Arial"/>
          <w:b/>
          <w:bCs/>
          <w:i/>
          <w:iCs/>
          <w:color w:val="000000"/>
          <w:sz w:val="20"/>
          <w:szCs w:val="20"/>
        </w:rPr>
      </w:pPr>
      <w:r w:rsidRPr="00650CCB">
        <w:rPr>
          <w:rFonts w:ascii="Arial" w:hAnsi="Arial" w:cs="Arial"/>
          <w:b/>
          <w:bCs/>
          <w:i/>
          <w:iCs/>
          <w:color w:val="000000"/>
          <w:sz w:val="20"/>
          <w:szCs w:val="20"/>
        </w:rPr>
        <w:t xml:space="preserve">a) The </w:t>
      </w:r>
      <w:r>
        <w:rPr>
          <w:rFonts w:ascii="Arial" w:hAnsi="Arial" w:cs="Arial"/>
          <w:b/>
          <w:bCs/>
          <w:i/>
          <w:iCs/>
          <w:color w:val="000000"/>
          <w:sz w:val="20"/>
          <w:szCs w:val="20"/>
        </w:rPr>
        <w:t>VNIPO</w:t>
      </w:r>
      <w:r w:rsidRPr="00650CCB">
        <w:rPr>
          <w:rFonts w:ascii="Arial" w:hAnsi="Arial" w:cs="Arial"/>
          <w:b/>
          <w:bCs/>
          <w:i/>
          <w:iCs/>
          <w:color w:val="000000"/>
          <w:sz w:val="20"/>
          <w:szCs w:val="20"/>
        </w:rPr>
        <w:t xml:space="preserve"> application (including a PCT national phase application) is</w:t>
      </w:r>
    </w:p>
    <w:p w14:paraId="2827B47A" w14:textId="77777777" w:rsidR="002608A5" w:rsidRPr="00650CCB" w:rsidRDefault="002608A5" w:rsidP="002608A5">
      <w:pPr>
        <w:spacing w:after="0" w:line="240" w:lineRule="auto"/>
        <w:jc w:val="both"/>
        <w:rPr>
          <w:rFonts w:ascii="Arial" w:hAnsi="Arial" w:cs="Arial"/>
          <w:b/>
          <w:bCs/>
          <w:i/>
          <w:iCs/>
          <w:color w:val="000000"/>
          <w:sz w:val="20"/>
          <w:szCs w:val="20"/>
        </w:rPr>
      </w:pPr>
    </w:p>
    <w:p w14:paraId="16438171" w14:textId="77777777" w:rsidR="002608A5" w:rsidRPr="00650CCB" w:rsidRDefault="002608A5" w:rsidP="002608A5">
      <w:pPr>
        <w:spacing w:after="0" w:line="240" w:lineRule="auto"/>
        <w:jc w:val="both"/>
        <w:rPr>
          <w:rFonts w:ascii="Arial" w:hAnsi="Arial" w:cs="Arial"/>
          <w:i/>
          <w:iCs/>
          <w:color w:val="000000"/>
          <w:sz w:val="20"/>
          <w:szCs w:val="20"/>
        </w:rPr>
      </w:pPr>
      <w:r w:rsidRPr="00650CCB">
        <w:rPr>
          <w:rFonts w:ascii="Arial" w:hAnsi="Arial" w:cs="Arial"/>
          <w:b/>
          <w:bCs/>
          <w:i/>
          <w:iCs/>
          <w:color w:val="000000"/>
          <w:sz w:val="20"/>
          <w:szCs w:val="20"/>
        </w:rPr>
        <w:t xml:space="preserve">(i) </w:t>
      </w:r>
      <w:proofErr w:type="gramStart"/>
      <w:r w:rsidRPr="00650CCB">
        <w:rPr>
          <w:rFonts w:ascii="Arial" w:hAnsi="Arial" w:cs="Arial"/>
          <w:i/>
          <w:iCs/>
          <w:color w:val="000000"/>
          <w:sz w:val="20"/>
          <w:szCs w:val="20"/>
        </w:rPr>
        <w:t>an</w:t>
      </w:r>
      <w:proofErr w:type="gramEnd"/>
      <w:r w:rsidRPr="00650CCB">
        <w:rPr>
          <w:rFonts w:ascii="Arial" w:hAnsi="Arial" w:cs="Arial"/>
          <w:i/>
          <w:iCs/>
          <w:color w:val="000000"/>
          <w:sz w:val="20"/>
          <w:szCs w:val="20"/>
        </w:rPr>
        <w:t xml:space="preserve"> application which validly claims priority under the Paris Convention to the JPO (or KIPO) application(s), or</w:t>
      </w:r>
    </w:p>
    <w:p w14:paraId="36C98CB7" w14:textId="77777777" w:rsidR="002608A5" w:rsidRPr="00650CCB" w:rsidRDefault="002608A5" w:rsidP="002608A5">
      <w:pPr>
        <w:spacing w:after="0" w:line="240" w:lineRule="auto"/>
        <w:jc w:val="both"/>
        <w:rPr>
          <w:rFonts w:ascii="Arial" w:hAnsi="Arial" w:cs="Arial"/>
          <w:i/>
          <w:iCs/>
          <w:color w:val="000000"/>
          <w:sz w:val="20"/>
          <w:szCs w:val="20"/>
        </w:rPr>
      </w:pPr>
      <w:r w:rsidRPr="00650CCB">
        <w:rPr>
          <w:rFonts w:ascii="Arial" w:hAnsi="Arial" w:cs="Arial"/>
          <w:i/>
          <w:iCs/>
          <w:color w:val="000000"/>
          <w:sz w:val="20"/>
          <w:szCs w:val="20"/>
        </w:rPr>
        <w:br/>
      </w:r>
      <w:r w:rsidRPr="00650CCB">
        <w:rPr>
          <w:rFonts w:ascii="Arial" w:hAnsi="Arial" w:cs="Arial"/>
          <w:b/>
          <w:bCs/>
          <w:i/>
          <w:iCs/>
          <w:color w:val="000000"/>
          <w:sz w:val="20"/>
          <w:szCs w:val="20"/>
        </w:rPr>
        <w:t xml:space="preserve">(ii) </w:t>
      </w:r>
      <w:proofErr w:type="gramStart"/>
      <w:r w:rsidRPr="00650CCB">
        <w:rPr>
          <w:rFonts w:ascii="Arial" w:hAnsi="Arial" w:cs="Arial"/>
          <w:i/>
          <w:iCs/>
          <w:color w:val="000000"/>
          <w:sz w:val="20"/>
          <w:szCs w:val="20"/>
        </w:rPr>
        <w:t>a</w:t>
      </w:r>
      <w:proofErr w:type="gramEnd"/>
      <w:r w:rsidRPr="00650CCB">
        <w:rPr>
          <w:rFonts w:ascii="Arial" w:hAnsi="Arial" w:cs="Arial"/>
          <w:i/>
          <w:iCs/>
          <w:color w:val="000000"/>
          <w:sz w:val="20"/>
          <w:szCs w:val="20"/>
        </w:rPr>
        <w:t xml:space="preserve"> national phase application of a PCT application without priority claim filed at JPO (or KIPO) as receiving office (the application number begins with PCT/JP (or PCT/KR), hereafter referred to as PCT/JP (or PCT/KR) application), or</w:t>
      </w:r>
    </w:p>
    <w:p w14:paraId="6D2818F3" w14:textId="77777777" w:rsidR="002608A5" w:rsidRPr="00650CCB" w:rsidRDefault="002608A5" w:rsidP="002608A5">
      <w:pPr>
        <w:spacing w:after="0" w:line="240" w:lineRule="auto"/>
        <w:jc w:val="both"/>
        <w:rPr>
          <w:rFonts w:ascii="Arial" w:hAnsi="Arial" w:cs="Arial"/>
          <w:color w:val="000000"/>
          <w:sz w:val="20"/>
          <w:szCs w:val="20"/>
        </w:rPr>
      </w:pPr>
      <w:r w:rsidRPr="00650CCB">
        <w:rPr>
          <w:rFonts w:ascii="Arial" w:hAnsi="Arial" w:cs="Arial"/>
          <w:i/>
          <w:iCs/>
          <w:color w:val="000000"/>
          <w:sz w:val="20"/>
          <w:szCs w:val="20"/>
        </w:rPr>
        <w:br/>
      </w:r>
      <w:r w:rsidRPr="00650CCB">
        <w:rPr>
          <w:rFonts w:ascii="Arial" w:hAnsi="Arial" w:cs="Arial"/>
          <w:b/>
          <w:bCs/>
          <w:i/>
          <w:iCs/>
          <w:color w:val="000000"/>
          <w:sz w:val="20"/>
          <w:szCs w:val="20"/>
        </w:rPr>
        <w:t xml:space="preserve">(iii) </w:t>
      </w:r>
      <w:proofErr w:type="gramStart"/>
      <w:r w:rsidRPr="00650CCB">
        <w:rPr>
          <w:rFonts w:ascii="Arial" w:hAnsi="Arial" w:cs="Arial"/>
          <w:i/>
          <w:iCs/>
          <w:color w:val="000000"/>
          <w:sz w:val="20"/>
          <w:szCs w:val="20"/>
        </w:rPr>
        <w:t>an</w:t>
      </w:r>
      <w:proofErr w:type="gramEnd"/>
      <w:r w:rsidRPr="00650CCB">
        <w:rPr>
          <w:rFonts w:ascii="Arial" w:hAnsi="Arial" w:cs="Arial"/>
          <w:i/>
          <w:iCs/>
          <w:color w:val="000000"/>
          <w:sz w:val="20"/>
          <w:szCs w:val="20"/>
        </w:rPr>
        <w:t xml:space="preserve"> application which validly claims priority under the Paris Convention to a PCT/JP (or PCT/KR) application(s) referred to in (ii) above.</w:t>
      </w:r>
    </w:p>
    <w:p w14:paraId="365225A1" w14:textId="77777777" w:rsidR="002608A5" w:rsidRPr="00650CCB" w:rsidRDefault="002608A5" w:rsidP="002608A5">
      <w:pPr>
        <w:spacing w:after="0" w:line="240" w:lineRule="auto"/>
        <w:jc w:val="both"/>
        <w:rPr>
          <w:rFonts w:ascii="Arial" w:hAnsi="Arial" w:cs="Arial"/>
          <w:color w:val="000000"/>
          <w:sz w:val="20"/>
          <w:szCs w:val="20"/>
        </w:rPr>
      </w:pPr>
    </w:p>
    <w:p w14:paraId="087A5501" w14:textId="77777777" w:rsidR="002608A5" w:rsidRPr="00650CCB" w:rsidRDefault="002608A5" w:rsidP="002608A5">
      <w:pPr>
        <w:spacing w:after="0" w:line="240" w:lineRule="auto"/>
        <w:jc w:val="both"/>
        <w:rPr>
          <w:rFonts w:ascii="Arial" w:hAnsi="Arial" w:cs="Arial"/>
          <w:color w:val="000000"/>
          <w:sz w:val="20"/>
          <w:szCs w:val="20"/>
        </w:rPr>
      </w:pPr>
      <w:r w:rsidRPr="00650CCB">
        <w:rPr>
          <w:rFonts w:ascii="Arial" w:hAnsi="Arial" w:cs="Arial"/>
          <w:color w:val="000000"/>
          <w:sz w:val="20"/>
          <w:szCs w:val="20"/>
        </w:rPr>
        <w:t xml:space="preserve">The </w:t>
      </w:r>
      <w:r>
        <w:rPr>
          <w:rFonts w:ascii="Arial" w:hAnsi="Arial" w:cs="Arial"/>
          <w:color w:val="000000"/>
          <w:sz w:val="20"/>
          <w:szCs w:val="20"/>
        </w:rPr>
        <w:t>VNIPO</w:t>
      </w:r>
      <w:r w:rsidRPr="00650CCB">
        <w:rPr>
          <w:rFonts w:ascii="Arial" w:hAnsi="Arial" w:cs="Arial"/>
          <w:color w:val="000000"/>
          <w:sz w:val="20"/>
          <w:szCs w:val="20"/>
        </w:rPr>
        <w:t xml:space="preserve"> application, which validly claims priority to multiple JPO (</w:t>
      </w:r>
      <w:r w:rsidRPr="001770D3">
        <w:rPr>
          <w:rFonts w:ascii="Arial" w:hAnsi="Arial" w:cs="Arial"/>
          <w:color w:val="000000"/>
          <w:sz w:val="20"/>
          <w:szCs w:val="20"/>
        </w:rPr>
        <w:t xml:space="preserve">or </w:t>
      </w:r>
      <w:r w:rsidRPr="004C10CA">
        <w:rPr>
          <w:rFonts w:ascii="Arial" w:hAnsi="Arial" w:cs="Arial"/>
          <w:color w:val="000000"/>
          <w:sz w:val="20"/>
          <w:szCs w:val="20"/>
        </w:rPr>
        <w:t>KIPO) or direct PCT</w:t>
      </w:r>
      <w:r w:rsidRPr="00650CCB">
        <w:rPr>
          <w:rFonts w:ascii="Arial" w:hAnsi="Arial" w:cs="Arial"/>
          <w:color w:val="000000"/>
          <w:sz w:val="20"/>
          <w:szCs w:val="20"/>
        </w:rPr>
        <w:t xml:space="preserve"> applications, or which is the divisional application validly based on the originally filed application that is included in (i) to (iii) above, is also eligible.</w:t>
      </w:r>
    </w:p>
    <w:p w14:paraId="581BADBA" w14:textId="77777777" w:rsidR="002608A5" w:rsidRPr="00650CCB" w:rsidRDefault="002608A5" w:rsidP="002608A5">
      <w:pPr>
        <w:spacing w:after="0" w:line="240" w:lineRule="auto"/>
        <w:jc w:val="both"/>
        <w:rPr>
          <w:rFonts w:ascii="Arial" w:hAnsi="Arial" w:cs="Arial"/>
          <w:b/>
          <w:bCs/>
          <w:i/>
          <w:iCs/>
          <w:color w:val="000000"/>
          <w:sz w:val="20"/>
          <w:szCs w:val="20"/>
        </w:rPr>
      </w:pPr>
      <w:r w:rsidRPr="00650CCB">
        <w:rPr>
          <w:rFonts w:ascii="Arial" w:hAnsi="Arial" w:cs="Arial"/>
          <w:color w:val="000000"/>
          <w:sz w:val="20"/>
          <w:szCs w:val="20"/>
        </w:rPr>
        <w:br/>
      </w:r>
      <w:r w:rsidRPr="00650CCB">
        <w:rPr>
          <w:rFonts w:ascii="Arial" w:hAnsi="Arial" w:cs="Arial"/>
          <w:b/>
          <w:bCs/>
          <w:i/>
          <w:iCs/>
          <w:color w:val="000000"/>
          <w:sz w:val="20"/>
          <w:szCs w:val="20"/>
        </w:rPr>
        <w:t>b) At least one corresponding application exists in JPO (</w:t>
      </w:r>
      <w:r>
        <w:rPr>
          <w:rFonts w:ascii="Arial" w:hAnsi="Arial" w:cs="Arial"/>
          <w:b/>
          <w:bCs/>
          <w:i/>
          <w:iCs/>
          <w:color w:val="000000"/>
          <w:sz w:val="20"/>
          <w:szCs w:val="20"/>
        </w:rPr>
        <w:t>or</w:t>
      </w:r>
      <w:r w:rsidRPr="00650CCB">
        <w:rPr>
          <w:rFonts w:ascii="Arial" w:hAnsi="Arial" w:cs="Arial"/>
          <w:b/>
          <w:bCs/>
          <w:i/>
          <w:iCs/>
          <w:color w:val="000000"/>
          <w:sz w:val="20"/>
          <w:szCs w:val="20"/>
        </w:rPr>
        <w:t xml:space="preserve"> KIPO) and has one or more claims that</w:t>
      </w:r>
      <w:r w:rsidRPr="00650CCB">
        <w:rPr>
          <w:rFonts w:ascii="Arial" w:hAnsi="Arial" w:cs="Arial"/>
          <w:b/>
          <w:bCs/>
          <w:i/>
          <w:iCs/>
          <w:color w:val="000000"/>
          <w:sz w:val="20"/>
          <w:szCs w:val="20"/>
        </w:rPr>
        <w:br/>
        <w:t>are determined to be patentable/allowable by JPO</w:t>
      </w:r>
      <w:r>
        <w:rPr>
          <w:rFonts w:ascii="Arial" w:hAnsi="Arial" w:cs="Arial"/>
          <w:b/>
          <w:bCs/>
          <w:i/>
          <w:iCs/>
          <w:color w:val="000000"/>
          <w:sz w:val="20"/>
          <w:szCs w:val="20"/>
        </w:rPr>
        <w:t xml:space="preserve"> </w:t>
      </w:r>
      <w:r w:rsidRPr="00650CCB">
        <w:rPr>
          <w:rFonts w:ascii="Arial" w:hAnsi="Arial" w:cs="Arial"/>
          <w:b/>
          <w:bCs/>
          <w:i/>
          <w:iCs/>
          <w:color w:val="000000"/>
          <w:sz w:val="20"/>
          <w:szCs w:val="20"/>
        </w:rPr>
        <w:t>(</w:t>
      </w:r>
      <w:r>
        <w:rPr>
          <w:rFonts w:ascii="Arial" w:hAnsi="Arial" w:cs="Arial"/>
          <w:b/>
          <w:bCs/>
          <w:i/>
          <w:iCs/>
          <w:color w:val="000000"/>
          <w:sz w:val="20"/>
          <w:szCs w:val="20"/>
        </w:rPr>
        <w:t>or</w:t>
      </w:r>
      <w:r w:rsidRPr="00650CCB">
        <w:rPr>
          <w:rFonts w:ascii="Arial" w:hAnsi="Arial" w:cs="Arial"/>
          <w:b/>
          <w:bCs/>
          <w:i/>
          <w:iCs/>
          <w:color w:val="000000"/>
          <w:sz w:val="20"/>
          <w:szCs w:val="20"/>
        </w:rPr>
        <w:t xml:space="preserve"> KIPO)</w:t>
      </w:r>
    </w:p>
    <w:p w14:paraId="38E49269" w14:textId="77777777" w:rsidR="002608A5" w:rsidRPr="00650CCB" w:rsidRDefault="002608A5" w:rsidP="002608A5">
      <w:pPr>
        <w:spacing w:after="0" w:line="240" w:lineRule="auto"/>
        <w:jc w:val="both"/>
        <w:rPr>
          <w:rFonts w:ascii="Arial" w:hAnsi="Arial" w:cs="Arial"/>
          <w:color w:val="000000"/>
          <w:sz w:val="20"/>
          <w:szCs w:val="20"/>
        </w:rPr>
      </w:pPr>
      <w:r w:rsidRPr="00650CCB">
        <w:rPr>
          <w:rFonts w:ascii="Arial" w:hAnsi="Arial" w:cs="Arial"/>
          <w:b/>
          <w:bCs/>
          <w:i/>
          <w:iCs/>
          <w:color w:val="000000"/>
          <w:sz w:val="20"/>
          <w:szCs w:val="20"/>
        </w:rPr>
        <w:br/>
      </w:r>
      <w:r w:rsidRPr="00650CCB">
        <w:rPr>
          <w:rFonts w:ascii="Arial" w:hAnsi="Arial" w:cs="Arial"/>
          <w:color w:val="000000"/>
          <w:sz w:val="20"/>
          <w:szCs w:val="20"/>
        </w:rPr>
        <w:t>The corresponding application(s) can be the application which forms the basis of the priority claim, an application which derived from the JPO (or KIPO) application which forms the basis of the priority claim (e.g., a divisional application of the JPO (or KIPO) application or an application which claims domestic priority to the JPO (or KIPO) application, or an JPO (or KIPO) national phase application of a PCT application.</w:t>
      </w:r>
    </w:p>
    <w:p w14:paraId="33D197D1" w14:textId="77777777" w:rsidR="002608A5" w:rsidRPr="00650CCB" w:rsidRDefault="002608A5" w:rsidP="002608A5">
      <w:pPr>
        <w:spacing w:after="0" w:line="240" w:lineRule="auto"/>
        <w:jc w:val="both"/>
        <w:rPr>
          <w:rFonts w:ascii="Arial" w:hAnsi="Arial" w:cs="Arial"/>
          <w:sz w:val="20"/>
          <w:szCs w:val="20"/>
        </w:rPr>
      </w:pPr>
      <w:r w:rsidRPr="00650CCB">
        <w:rPr>
          <w:rFonts w:ascii="Arial" w:hAnsi="Arial" w:cs="Arial"/>
          <w:color w:val="000000"/>
          <w:sz w:val="20"/>
          <w:szCs w:val="20"/>
        </w:rPr>
        <w:br/>
        <w:t xml:space="preserve">Claims are “determined to be </w:t>
      </w:r>
      <w:proofErr w:type="gramStart"/>
      <w:r w:rsidRPr="00650CCB">
        <w:rPr>
          <w:rFonts w:ascii="Arial" w:hAnsi="Arial" w:cs="Arial"/>
          <w:color w:val="000000"/>
          <w:sz w:val="20"/>
          <w:szCs w:val="20"/>
        </w:rPr>
        <w:t>allowable/patentable</w:t>
      </w:r>
      <w:proofErr w:type="gramEnd"/>
      <w:r w:rsidRPr="00650CCB">
        <w:rPr>
          <w:rFonts w:ascii="Arial" w:hAnsi="Arial" w:cs="Arial"/>
          <w:color w:val="000000"/>
          <w:sz w:val="20"/>
          <w:szCs w:val="20"/>
        </w:rPr>
        <w:t>” and do not suffer from any deficiencies related to unity, clarity, support by description when the JPO (or KIPO) examiner clearly identified the claims to be allowable/patentable in the latest office action, even if the application is not granted for patent yet.</w:t>
      </w:r>
      <w:r w:rsidRPr="00650CCB">
        <w:rPr>
          <w:rFonts w:ascii="Arial" w:hAnsi="Arial" w:cs="Arial"/>
          <w:color w:val="000000"/>
          <w:sz w:val="20"/>
          <w:szCs w:val="20"/>
        </w:rPr>
        <w:br/>
      </w:r>
    </w:p>
    <w:p w14:paraId="0ABA0652" w14:textId="77777777" w:rsidR="002608A5" w:rsidRPr="00650CCB" w:rsidRDefault="002608A5" w:rsidP="002608A5">
      <w:pPr>
        <w:spacing w:after="0" w:line="240" w:lineRule="auto"/>
        <w:jc w:val="both"/>
        <w:rPr>
          <w:rFonts w:ascii="Arial" w:hAnsi="Arial" w:cs="Arial"/>
          <w:color w:val="000000"/>
          <w:sz w:val="20"/>
          <w:szCs w:val="20"/>
        </w:rPr>
      </w:pPr>
      <w:r w:rsidRPr="00650CCB">
        <w:rPr>
          <w:rFonts w:ascii="Arial" w:hAnsi="Arial" w:cs="Arial"/>
          <w:b/>
          <w:bCs/>
          <w:i/>
          <w:iCs/>
          <w:color w:val="000000"/>
          <w:sz w:val="20"/>
          <w:szCs w:val="20"/>
        </w:rPr>
        <w:t>c) All claims on file, as originally filed or as amended, for examination under the PPH must sufficiently correspond to one or more of those claims indicated as allowable in JPO (or KIPO)</w:t>
      </w:r>
      <w:r w:rsidRPr="00650CCB">
        <w:rPr>
          <w:rFonts w:ascii="Arial" w:hAnsi="Arial" w:cs="Arial"/>
          <w:b/>
          <w:bCs/>
          <w:i/>
          <w:iCs/>
          <w:color w:val="000000"/>
          <w:sz w:val="20"/>
          <w:szCs w:val="20"/>
        </w:rPr>
        <w:br/>
      </w:r>
    </w:p>
    <w:p w14:paraId="1D911FA7" w14:textId="77777777" w:rsidR="002608A5" w:rsidRPr="00650CCB" w:rsidRDefault="002608A5" w:rsidP="002608A5">
      <w:pPr>
        <w:spacing w:after="0" w:line="240" w:lineRule="auto"/>
        <w:jc w:val="both"/>
        <w:rPr>
          <w:rFonts w:ascii="Arial" w:hAnsi="Arial" w:cs="Arial"/>
          <w:color w:val="000000"/>
          <w:sz w:val="20"/>
          <w:szCs w:val="20"/>
        </w:rPr>
      </w:pPr>
      <w:r w:rsidRPr="00650CCB">
        <w:rPr>
          <w:rFonts w:ascii="Arial" w:hAnsi="Arial" w:cs="Arial"/>
          <w:color w:val="000000"/>
          <w:sz w:val="20"/>
          <w:szCs w:val="20"/>
        </w:rPr>
        <w:t xml:space="preserve">Claims are considered to “sufficiently correspond” where, accounting for differences due to translations and claim format, the claims in </w:t>
      </w:r>
      <w:r>
        <w:rPr>
          <w:rFonts w:ascii="Arial" w:hAnsi="Arial" w:cs="Arial"/>
          <w:color w:val="000000"/>
          <w:sz w:val="20"/>
          <w:szCs w:val="20"/>
        </w:rPr>
        <w:t>VNIPO</w:t>
      </w:r>
      <w:r w:rsidRPr="00650CCB">
        <w:rPr>
          <w:rFonts w:ascii="Arial" w:hAnsi="Arial" w:cs="Arial"/>
          <w:color w:val="000000"/>
          <w:sz w:val="20"/>
          <w:szCs w:val="20"/>
        </w:rPr>
        <w:t xml:space="preserve"> are of the same or similar scope as the claims in JPO (or KIPO), or the claims in </w:t>
      </w:r>
      <w:r>
        <w:rPr>
          <w:rFonts w:ascii="Arial" w:hAnsi="Arial" w:cs="Arial"/>
          <w:color w:val="000000"/>
          <w:sz w:val="20"/>
          <w:szCs w:val="20"/>
        </w:rPr>
        <w:t xml:space="preserve">VNIPO </w:t>
      </w:r>
      <w:r w:rsidRPr="00650CCB">
        <w:rPr>
          <w:rFonts w:ascii="Arial" w:hAnsi="Arial" w:cs="Arial"/>
          <w:color w:val="000000"/>
          <w:sz w:val="20"/>
          <w:szCs w:val="20"/>
        </w:rPr>
        <w:t xml:space="preserve">are narrower in scope than the claims in JPO (or KIPO). </w:t>
      </w:r>
    </w:p>
    <w:p w14:paraId="6378156B" w14:textId="77777777" w:rsidR="002608A5" w:rsidRPr="00650CCB" w:rsidRDefault="002608A5" w:rsidP="002608A5">
      <w:pPr>
        <w:spacing w:after="0" w:line="240" w:lineRule="auto"/>
        <w:jc w:val="both"/>
        <w:rPr>
          <w:rFonts w:ascii="Arial" w:hAnsi="Arial" w:cs="Arial"/>
          <w:color w:val="000000"/>
          <w:sz w:val="20"/>
          <w:szCs w:val="20"/>
        </w:rPr>
      </w:pPr>
      <w:r w:rsidRPr="00650CCB">
        <w:rPr>
          <w:rFonts w:ascii="Arial" w:hAnsi="Arial" w:cs="Arial"/>
          <w:color w:val="000000"/>
          <w:sz w:val="20"/>
          <w:szCs w:val="20"/>
        </w:rPr>
        <w:br/>
        <w:t xml:space="preserve">A claim in </w:t>
      </w:r>
      <w:r>
        <w:rPr>
          <w:rFonts w:ascii="Arial" w:hAnsi="Arial" w:cs="Arial"/>
          <w:color w:val="000000"/>
          <w:sz w:val="20"/>
          <w:szCs w:val="20"/>
        </w:rPr>
        <w:t xml:space="preserve">VNIPO </w:t>
      </w:r>
      <w:r w:rsidRPr="00650CCB">
        <w:rPr>
          <w:rFonts w:ascii="Arial" w:hAnsi="Arial" w:cs="Arial"/>
          <w:color w:val="000000"/>
          <w:sz w:val="20"/>
          <w:szCs w:val="20"/>
        </w:rPr>
        <w:t xml:space="preserve">which introduces a new/different category of claims to those claims indicated as allowable in JPO (or KIPO) is not considered to sufficiently correspond. </w:t>
      </w:r>
    </w:p>
    <w:p w14:paraId="10DA9C37" w14:textId="77777777" w:rsidR="002608A5" w:rsidRPr="00650CCB" w:rsidRDefault="002608A5" w:rsidP="002608A5">
      <w:pPr>
        <w:spacing w:after="0" w:line="240" w:lineRule="auto"/>
        <w:jc w:val="both"/>
        <w:rPr>
          <w:rFonts w:ascii="Arial" w:eastAsia="Times New Roman" w:hAnsi="Arial" w:cs="Arial"/>
          <w:b/>
          <w:bCs/>
          <w:i/>
          <w:iCs/>
          <w:color w:val="000000"/>
          <w:sz w:val="20"/>
          <w:szCs w:val="20"/>
        </w:rPr>
      </w:pPr>
    </w:p>
    <w:p w14:paraId="2DA7A480" w14:textId="77777777" w:rsidR="002608A5" w:rsidRPr="00650CCB" w:rsidRDefault="002608A5" w:rsidP="002608A5">
      <w:pPr>
        <w:spacing w:after="0" w:line="240" w:lineRule="auto"/>
        <w:jc w:val="both"/>
        <w:rPr>
          <w:rFonts w:ascii="Arial" w:eastAsia="Times New Roman" w:hAnsi="Arial" w:cs="Arial"/>
          <w:b/>
          <w:bCs/>
          <w:i/>
          <w:iCs/>
          <w:color w:val="000000"/>
          <w:sz w:val="20"/>
          <w:szCs w:val="20"/>
        </w:rPr>
      </w:pPr>
      <w:r w:rsidRPr="00650CCB">
        <w:rPr>
          <w:rFonts w:ascii="Arial" w:eastAsia="Times New Roman" w:hAnsi="Arial" w:cs="Arial"/>
          <w:b/>
          <w:bCs/>
          <w:i/>
          <w:iCs/>
          <w:color w:val="000000"/>
          <w:sz w:val="20"/>
          <w:szCs w:val="20"/>
        </w:rPr>
        <w:t xml:space="preserve">d) </w:t>
      </w:r>
      <w:r>
        <w:rPr>
          <w:rFonts w:ascii="Arial" w:eastAsia="Times New Roman" w:hAnsi="Arial" w:cs="Arial"/>
          <w:b/>
          <w:bCs/>
          <w:i/>
          <w:iCs/>
          <w:color w:val="000000"/>
          <w:sz w:val="20"/>
          <w:szCs w:val="20"/>
        </w:rPr>
        <w:t>VNIPO</w:t>
      </w:r>
      <w:r w:rsidRPr="00650CCB">
        <w:rPr>
          <w:rFonts w:ascii="Arial" w:eastAsia="Times New Roman" w:hAnsi="Arial" w:cs="Arial"/>
          <w:b/>
          <w:bCs/>
          <w:i/>
          <w:iCs/>
          <w:color w:val="000000"/>
          <w:sz w:val="20"/>
          <w:szCs w:val="20"/>
        </w:rPr>
        <w:t xml:space="preserve"> has not begun examination of the application at the time of request for</w:t>
      </w:r>
      <w:r w:rsidRPr="00650CCB">
        <w:rPr>
          <w:rFonts w:ascii="Arial" w:eastAsia="Times New Roman" w:hAnsi="Arial" w:cs="Arial"/>
          <w:b/>
          <w:bCs/>
          <w:i/>
          <w:iCs/>
          <w:color w:val="000000"/>
          <w:sz w:val="20"/>
          <w:szCs w:val="20"/>
        </w:rPr>
        <w:br/>
        <w:t>the PPH (an example is provided in ANNEX, figure M).</w:t>
      </w:r>
    </w:p>
    <w:p w14:paraId="135E9706" w14:textId="77777777" w:rsidR="002608A5" w:rsidRPr="00650CCB" w:rsidRDefault="002608A5" w:rsidP="002608A5">
      <w:pPr>
        <w:spacing w:after="0" w:line="240" w:lineRule="auto"/>
        <w:jc w:val="both"/>
        <w:rPr>
          <w:rFonts w:ascii="Arial" w:eastAsia="Times New Roman" w:hAnsi="Arial" w:cs="Arial"/>
          <w:b/>
          <w:bCs/>
          <w:i/>
          <w:iCs/>
          <w:color w:val="000000"/>
          <w:sz w:val="20"/>
          <w:szCs w:val="20"/>
        </w:rPr>
      </w:pPr>
    </w:p>
    <w:p w14:paraId="2ED47076" w14:textId="77777777" w:rsidR="002608A5" w:rsidRPr="00650CCB" w:rsidRDefault="002608A5" w:rsidP="002608A5">
      <w:pPr>
        <w:spacing w:after="0" w:line="240" w:lineRule="auto"/>
        <w:jc w:val="both"/>
        <w:rPr>
          <w:rFonts w:ascii="Arial" w:hAnsi="Arial" w:cs="Arial"/>
          <w:sz w:val="20"/>
          <w:szCs w:val="20"/>
        </w:rPr>
      </w:pPr>
      <w:r w:rsidRPr="00650CCB">
        <w:rPr>
          <w:rFonts w:ascii="Arial" w:eastAsia="Times New Roman" w:hAnsi="Arial" w:cs="Arial"/>
          <w:b/>
          <w:bCs/>
          <w:i/>
          <w:iCs/>
          <w:color w:val="000000"/>
          <w:sz w:val="20"/>
          <w:szCs w:val="20"/>
        </w:rPr>
        <w:t xml:space="preserve">e) A “Request for Substantive Examination” must have been filed at </w:t>
      </w:r>
      <w:r w:rsidRPr="001770D3">
        <w:rPr>
          <w:rFonts w:ascii="Arial" w:hAnsi="Arial" w:cs="Arial"/>
          <w:b/>
          <w:bCs/>
          <w:i/>
          <w:iCs/>
          <w:color w:val="000000"/>
          <w:sz w:val="20"/>
          <w:szCs w:val="20"/>
        </w:rPr>
        <w:t xml:space="preserve">VNIPO </w:t>
      </w:r>
      <w:r w:rsidRPr="00650CCB">
        <w:rPr>
          <w:rFonts w:ascii="Arial" w:eastAsia="Times New Roman" w:hAnsi="Arial" w:cs="Arial"/>
          <w:b/>
          <w:bCs/>
          <w:i/>
          <w:iCs/>
          <w:color w:val="000000"/>
          <w:sz w:val="20"/>
          <w:szCs w:val="20"/>
        </w:rPr>
        <w:t>either</w:t>
      </w:r>
      <w:r w:rsidRPr="00650CCB">
        <w:rPr>
          <w:rFonts w:ascii="Arial" w:eastAsia="Times New Roman" w:hAnsi="Arial" w:cs="Arial"/>
          <w:b/>
          <w:bCs/>
          <w:i/>
          <w:iCs/>
          <w:color w:val="000000"/>
          <w:sz w:val="20"/>
          <w:szCs w:val="20"/>
        </w:rPr>
        <w:br/>
        <w:t>at the time of the PPH request or previously</w:t>
      </w:r>
    </w:p>
    <w:p w14:paraId="26EB29F2" w14:textId="243F9F64" w:rsidR="002608A5" w:rsidRPr="00650CCB" w:rsidRDefault="002608A5" w:rsidP="002608A5">
      <w:pPr>
        <w:spacing w:after="0" w:line="240" w:lineRule="auto"/>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7456" behindDoc="0" locked="0" layoutInCell="1" allowOverlap="1" wp14:anchorId="37D27FEB" wp14:editId="39F745EC">
                <wp:simplePos x="0" y="0"/>
                <wp:positionH relativeFrom="column">
                  <wp:posOffset>6347460</wp:posOffset>
                </wp:positionH>
                <wp:positionV relativeFrom="paragraph">
                  <wp:posOffset>-577215</wp:posOffset>
                </wp:positionV>
                <wp:extent cx="323850" cy="10572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876C6" w14:textId="77777777" w:rsidR="002608A5" w:rsidRDefault="002608A5" w:rsidP="002608A5">
                            <w:pPr>
                              <w:spacing w:after="0" w:line="240" w:lineRule="auto"/>
                              <w:jc w:val="center"/>
                              <w:rPr>
                                <w:rFonts w:ascii="Arial" w:hAnsi="Arial" w:cs="Arial"/>
                                <w:color w:val="FFFFFF" w:themeColor="background1"/>
                              </w:rPr>
                            </w:pPr>
                          </w:p>
                          <w:p w14:paraId="3BD16CFC" w14:textId="77777777" w:rsidR="002608A5" w:rsidRDefault="002608A5" w:rsidP="002608A5">
                            <w:pPr>
                              <w:spacing w:after="0" w:line="240" w:lineRule="auto"/>
                              <w:jc w:val="center"/>
                              <w:rPr>
                                <w:rFonts w:ascii="Arial" w:hAnsi="Arial" w:cs="Arial"/>
                                <w:color w:val="FFFFFF" w:themeColor="background1"/>
                                <w:sz w:val="20"/>
                                <w:szCs w:val="20"/>
                              </w:rPr>
                            </w:pPr>
                          </w:p>
                          <w:p w14:paraId="6C4EDE54" w14:textId="77777777" w:rsidR="002608A5" w:rsidRPr="008E758C" w:rsidRDefault="002608A5" w:rsidP="002608A5">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8E758C">
                              <w:rPr>
                                <w:rFonts w:ascii="Arial" w:hAnsi="Arial" w:cs="Arial"/>
                                <w:b/>
                                <w:color w:val="FFFFFF" w:themeColor="background1"/>
                                <w:sz w:val="18"/>
                                <w:szCs w:val="18"/>
                              </w:rPr>
                              <w:t>Accelerating patent examination in Vietnam</w:t>
                            </w:r>
                          </w:p>
                          <w:p w14:paraId="28B4341A" w14:textId="77777777" w:rsidR="002608A5" w:rsidRDefault="002608A5" w:rsidP="002608A5">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499.8pt;margin-top:-45.45pt;width:25.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" fillcolor="#00b39c" strokecolor="#00b39c" strokeweight="1pt">
                <v:textbox style="layout-flow:vertical">
                  <w:txbxContent>
                    <w:p w14:paraId="6B5876C6" w14:textId="77777777" w:rsidR="002608A5" w:rsidRDefault="002608A5" w:rsidP="002608A5">
                      <w:pPr>
                        <w:spacing w:after="0" w:line="240" w:lineRule="auto"/>
                        <w:jc w:val="center"/>
                        <w:rPr>
                          <w:rFonts w:ascii="Arial" w:hAnsi="Arial" w:cs="Arial"/>
                          <w:color w:val="FFFFFF" w:themeColor="background1"/>
                        </w:rPr>
                      </w:pPr>
                    </w:p>
                    <w:p w14:paraId="3BD16CFC" w14:textId="77777777" w:rsidR="002608A5" w:rsidRDefault="002608A5" w:rsidP="002608A5">
                      <w:pPr>
                        <w:spacing w:after="0" w:line="240" w:lineRule="auto"/>
                        <w:jc w:val="center"/>
                        <w:rPr>
                          <w:rFonts w:ascii="Arial" w:hAnsi="Arial" w:cs="Arial"/>
                          <w:color w:val="FFFFFF" w:themeColor="background1"/>
                          <w:sz w:val="20"/>
                          <w:szCs w:val="20"/>
                        </w:rPr>
                      </w:pPr>
                    </w:p>
                    <w:p w14:paraId="6C4EDE54" w14:textId="77777777" w:rsidR="002608A5" w:rsidRPr="008E758C" w:rsidRDefault="002608A5" w:rsidP="002608A5">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8E758C">
                        <w:rPr>
                          <w:rFonts w:ascii="Arial" w:hAnsi="Arial" w:cs="Arial"/>
                          <w:b/>
                          <w:color w:val="FFFFFF" w:themeColor="background1"/>
                          <w:sz w:val="18"/>
                          <w:szCs w:val="18"/>
                        </w:rPr>
                        <w:t>Accelerating patent examination in Vietnam</w:t>
                      </w:r>
                    </w:p>
                    <w:p w14:paraId="28B4341A" w14:textId="77777777" w:rsidR="002608A5" w:rsidRDefault="002608A5" w:rsidP="002608A5">
                      <w:pPr>
                        <w:jc w:val="center"/>
                      </w:pPr>
                    </w:p>
                  </w:txbxContent>
                </v:textbox>
              </v:rect>
            </w:pict>
          </mc:Fallback>
        </mc:AlternateContent>
      </w:r>
    </w:p>
    <w:p w14:paraId="26B502E8" w14:textId="77777777" w:rsidR="002608A5" w:rsidRPr="00650CCB" w:rsidRDefault="002608A5" w:rsidP="002608A5">
      <w:pPr>
        <w:spacing w:after="0" w:line="240" w:lineRule="auto"/>
        <w:rPr>
          <w:rFonts w:ascii="Arial" w:hAnsi="Arial" w:cs="Arial"/>
          <w:b/>
          <w:bCs/>
          <w:color w:val="000000"/>
          <w:sz w:val="20"/>
          <w:szCs w:val="20"/>
        </w:rPr>
      </w:pPr>
      <w:r w:rsidRPr="00650CCB">
        <w:rPr>
          <w:rFonts w:ascii="Arial" w:hAnsi="Arial" w:cs="Arial"/>
          <w:b/>
          <w:bCs/>
          <w:color w:val="000000"/>
          <w:sz w:val="20"/>
          <w:szCs w:val="20"/>
        </w:rPr>
        <w:t>4. Procedure for the accelerated examination under the PPH program</w:t>
      </w:r>
    </w:p>
    <w:p w14:paraId="093D3788" w14:textId="77777777" w:rsidR="002608A5" w:rsidRPr="00650CCB" w:rsidRDefault="002608A5" w:rsidP="002608A5">
      <w:pPr>
        <w:spacing w:after="0" w:line="240" w:lineRule="auto"/>
        <w:jc w:val="both"/>
        <w:rPr>
          <w:rFonts w:ascii="Arial" w:hAnsi="Arial" w:cs="Arial"/>
          <w:color w:val="000000"/>
          <w:sz w:val="20"/>
          <w:szCs w:val="20"/>
        </w:rPr>
      </w:pPr>
      <w:r w:rsidRPr="00650CCB">
        <w:rPr>
          <w:rFonts w:ascii="Arial" w:hAnsi="Arial" w:cs="Arial"/>
          <w:b/>
          <w:bCs/>
          <w:color w:val="000000"/>
          <w:sz w:val="20"/>
          <w:szCs w:val="20"/>
        </w:rPr>
        <w:br/>
      </w:r>
      <w:r>
        <w:rPr>
          <w:rFonts w:ascii="Arial" w:hAnsi="Arial" w:cs="Arial"/>
          <w:color w:val="000000"/>
          <w:sz w:val="20"/>
          <w:szCs w:val="20"/>
        </w:rPr>
        <w:t>VNIPO</w:t>
      </w:r>
      <w:r w:rsidRPr="00650CCB">
        <w:rPr>
          <w:rFonts w:ascii="Arial" w:hAnsi="Arial" w:cs="Arial"/>
          <w:color w:val="000000"/>
          <w:sz w:val="20"/>
          <w:szCs w:val="20"/>
        </w:rPr>
        <w:t xml:space="preserve"> decides whether the application is eligible for accelerated examination under the PPH when it receives a request containing sufficient required document</w:t>
      </w:r>
      <w:r>
        <w:rPr>
          <w:rFonts w:ascii="Arial" w:hAnsi="Arial" w:cs="Arial"/>
          <w:color w:val="000000"/>
          <w:sz w:val="20"/>
          <w:szCs w:val="20"/>
        </w:rPr>
        <w:t>s</w:t>
      </w:r>
      <w:r w:rsidRPr="00650CCB">
        <w:rPr>
          <w:rFonts w:ascii="Arial" w:hAnsi="Arial" w:cs="Arial"/>
          <w:color w:val="000000"/>
          <w:sz w:val="20"/>
          <w:szCs w:val="20"/>
        </w:rPr>
        <w:t xml:space="preserve">. When </w:t>
      </w:r>
      <w:r>
        <w:rPr>
          <w:rFonts w:ascii="Arial" w:hAnsi="Arial" w:cs="Arial"/>
          <w:color w:val="000000"/>
          <w:sz w:val="20"/>
          <w:szCs w:val="20"/>
        </w:rPr>
        <w:t>VNIPO</w:t>
      </w:r>
      <w:r w:rsidRPr="00650CCB">
        <w:rPr>
          <w:rFonts w:ascii="Arial" w:hAnsi="Arial" w:cs="Arial"/>
          <w:color w:val="000000"/>
          <w:sz w:val="20"/>
          <w:szCs w:val="20"/>
        </w:rPr>
        <w:t xml:space="preserve"> determines that the request is acceptable, a special status for accelerated examination under the PPH is assigned to the application.</w:t>
      </w:r>
    </w:p>
    <w:p w14:paraId="0C880732" w14:textId="77777777" w:rsidR="002608A5" w:rsidRPr="00650CCB" w:rsidRDefault="002608A5" w:rsidP="002608A5">
      <w:pPr>
        <w:spacing w:after="0" w:line="240" w:lineRule="auto"/>
        <w:jc w:val="both"/>
        <w:rPr>
          <w:rFonts w:ascii="Arial" w:hAnsi="Arial" w:cs="Arial"/>
          <w:color w:val="000000"/>
          <w:sz w:val="20"/>
          <w:szCs w:val="20"/>
        </w:rPr>
      </w:pPr>
      <w:r w:rsidRPr="00650CCB">
        <w:rPr>
          <w:rFonts w:ascii="Arial" w:hAnsi="Arial" w:cs="Arial"/>
          <w:color w:val="000000"/>
          <w:sz w:val="20"/>
          <w:szCs w:val="20"/>
        </w:rPr>
        <w:br/>
        <w:t xml:space="preserve">In those instances where the request does not meet all the requirements set forth above, the applicant will be notified and the defects in the request will be identified. Before the issue of the notification of not assigning a special status for accelerated examination under the PPH, the applicant will be given </w:t>
      </w:r>
      <w:r>
        <w:rPr>
          <w:rFonts w:ascii="Arial" w:hAnsi="Arial" w:cs="Arial"/>
          <w:color w:val="000000"/>
          <w:sz w:val="20"/>
          <w:szCs w:val="20"/>
        </w:rPr>
        <w:t xml:space="preserve">the </w:t>
      </w:r>
      <w:r w:rsidRPr="00650CCB">
        <w:rPr>
          <w:rFonts w:ascii="Arial" w:hAnsi="Arial" w:cs="Arial"/>
          <w:color w:val="000000"/>
          <w:sz w:val="20"/>
          <w:szCs w:val="20"/>
        </w:rPr>
        <w:t>opportunity to submit missing documents. Even after the issue of the notification of not assigning a special status for accelerated examination under the PPH, the applicant can request the PPH again.</w:t>
      </w:r>
    </w:p>
    <w:p w14:paraId="5988B1C6" w14:textId="77777777" w:rsidR="002608A5" w:rsidRPr="00650CCB" w:rsidRDefault="002608A5" w:rsidP="002608A5">
      <w:pPr>
        <w:spacing w:after="0" w:line="240" w:lineRule="auto"/>
        <w:jc w:val="both"/>
        <w:rPr>
          <w:rFonts w:ascii="Arial" w:hAnsi="Arial" w:cs="Arial"/>
          <w:color w:val="000000"/>
          <w:sz w:val="20"/>
          <w:szCs w:val="20"/>
        </w:rPr>
      </w:pPr>
    </w:p>
    <w:p w14:paraId="6C18E400" w14:textId="77777777" w:rsidR="002608A5" w:rsidRPr="00925E49" w:rsidRDefault="002608A5" w:rsidP="002608A5">
      <w:pPr>
        <w:spacing w:after="0" w:line="240" w:lineRule="auto"/>
        <w:jc w:val="both"/>
        <w:rPr>
          <w:rFonts w:ascii="Arial" w:hAnsi="Arial" w:cs="Arial"/>
          <w:b/>
          <w:bCs/>
          <w:color w:val="2F5496" w:themeColor="accent1" w:themeShade="BF"/>
          <w:sz w:val="20"/>
          <w:szCs w:val="20"/>
        </w:rPr>
      </w:pPr>
      <w:r w:rsidRPr="00925E49">
        <w:rPr>
          <w:rFonts w:ascii="Arial" w:hAnsi="Arial" w:cs="Arial"/>
          <w:b/>
          <w:bCs/>
          <w:color w:val="2F5496" w:themeColor="accent1" w:themeShade="BF"/>
          <w:sz w:val="20"/>
          <w:szCs w:val="20"/>
        </w:rPr>
        <w:t>III. Accelerated examination by using the ASEAN Patent Examination Co-operation (ASPEC)</w:t>
      </w:r>
    </w:p>
    <w:p w14:paraId="11EFC37F" w14:textId="77777777" w:rsidR="002608A5" w:rsidRPr="00650CCB" w:rsidRDefault="002608A5" w:rsidP="002608A5">
      <w:pPr>
        <w:spacing w:after="0" w:line="240" w:lineRule="auto"/>
        <w:jc w:val="both"/>
        <w:rPr>
          <w:rFonts w:ascii="Arial" w:hAnsi="Arial" w:cs="Arial"/>
          <w:sz w:val="20"/>
          <w:szCs w:val="20"/>
        </w:rPr>
      </w:pPr>
    </w:p>
    <w:p w14:paraId="362B9D67" w14:textId="77777777" w:rsidR="002608A5" w:rsidRPr="00650CCB" w:rsidRDefault="002608A5" w:rsidP="002608A5">
      <w:pPr>
        <w:spacing w:after="0" w:line="240" w:lineRule="auto"/>
        <w:jc w:val="both"/>
        <w:rPr>
          <w:rFonts w:ascii="Arial" w:hAnsi="Arial" w:cs="Arial"/>
          <w:color w:val="000000"/>
          <w:sz w:val="20"/>
          <w:szCs w:val="20"/>
        </w:rPr>
      </w:pPr>
      <w:r w:rsidRPr="00650CCB">
        <w:rPr>
          <w:rFonts w:ascii="Arial" w:hAnsi="Arial" w:cs="Arial"/>
          <w:color w:val="000000"/>
          <w:sz w:val="20"/>
          <w:szCs w:val="20"/>
        </w:rPr>
        <w:t xml:space="preserve">ASEAN Patent Examination Co-operation (ASPEC) is the first regional patent work-sharing </w:t>
      </w:r>
      <w:proofErr w:type="spellStart"/>
      <w:r w:rsidRPr="00650CCB">
        <w:rPr>
          <w:rFonts w:ascii="Arial" w:hAnsi="Arial" w:cs="Arial"/>
          <w:color w:val="000000"/>
          <w:sz w:val="20"/>
          <w:szCs w:val="20"/>
        </w:rPr>
        <w:t>programme</w:t>
      </w:r>
      <w:proofErr w:type="spellEnd"/>
      <w:r w:rsidRPr="00650CCB">
        <w:rPr>
          <w:rFonts w:ascii="Arial" w:hAnsi="Arial" w:cs="Arial"/>
          <w:color w:val="000000"/>
          <w:sz w:val="20"/>
          <w:szCs w:val="20"/>
        </w:rPr>
        <w:t xml:space="preserve"> among nine participating ASEAN Member States (AMS) IP Offices of Brunei Darussalam, Cambodia, Indonesia, Lao PDR, Malaysia, the Philippines, Singapore, Thailand, and Viet</w:t>
      </w:r>
      <w:r>
        <w:rPr>
          <w:rFonts w:ascii="Arial" w:hAnsi="Arial" w:cs="Arial"/>
          <w:color w:val="000000"/>
          <w:sz w:val="20"/>
          <w:szCs w:val="20"/>
        </w:rPr>
        <w:t>n</w:t>
      </w:r>
      <w:r w:rsidRPr="00650CCB">
        <w:rPr>
          <w:rFonts w:ascii="Arial" w:hAnsi="Arial" w:cs="Arial"/>
          <w:color w:val="000000"/>
          <w:sz w:val="20"/>
          <w:szCs w:val="20"/>
        </w:rPr>
        <w:t xml:space="preserve">am. </w:t>
      </w:r>
    </w:p>
    <w:p w14:paraId="42425016" w14:textId="77777777" w:rsidR="002608A5" w:rsidRPr="00650CCB" w:rsidRDefault="002608A5" w:rsidP="002608A5">
      <w:pPr>
        <w:spacing w:after="0" w:line="240" w:lineRule="auto"/>
        <w:jc w:val="both"/>
        <w:rPr>
          <w:rFonts w:ascii="Arial" w:hAnsi="Arial" w:cs="Arial"/>
          <w:color w:val="000000"/>
          <w:sz w:val="20"/>
          <w:szCs w:val="20"/>
        </w:rPr>
      </w:pPr>
    </w:p>
    <w:p w14:paraId="05072367" w14:textId="77777777" w:rsidR="002608A5" w:rsidRPr="00650CCB" w:rsidRDefault="002608A5" w:rsidP="002608A5">
      <w:pPr>
        <w:spacing w:after="0" w:line="240" w:lineRule="auto"/>
        <w:jc w:val="both"/>
        <w:rPr>
          <w:rFonts w:ascii="Arial" w:hAnsi="Arial" w:cs="Arial"/>
          <w:color w:val="000000"/>
          <w:sz w:val="20"/>
          <w:szCs w:val="20"/>
        </w:rPr>
      </w:pPr>
      <w:r w:rsidRPr="00650CCB">
        <w:rPr>
          <w:rFonts w:ascii="Arial" w:hAnsi="Arial" w:cs="Arial"/>
          <w:color w:val="000000"/>
          <w:sz w:val="20"/>
          <w:szCs w:val="20"/>
        </w:rPr>
        <w:t xml:space="preserve">The purpose of this </w:t>
      </w:r>
      <w:proofErr w:type="spellStart"/>
      <w:r w:rsidRPr="00650CCB">
        <w:rPr>
          <w:rFonts w:ascii="Arial" w:hAnsi="Arial" w:cs="Arial"/>
          <w:color w:val="000000"/>
          <w:sz w:val="20"/>
          <w:szCs w:val="20"/>
        </w:rPr>
        <w:t>programme</w:t>
      </w:r>
      <w:proofErr w:type="spellEnd"/>
      <w:r w:rsidRPr="00650CCB">
        <w:rPr>
          <w:rFonts w:ascii="Arial" w:hAnsi="Arial" w:cs="Arial"/>
          <w:color w:val="000000"/>
          <w:sz w:val="20"/>
          <w:szCs w:val="20"/>
        </w:rPr>
        <w:t xml:space="preserve"> is to share search and examination results between the participating offices to allow applicants in participating countries to obtain corresponding patents faster and more efficiently. The </w:t>
      </w:r>
      <w:proofErr w:type="spellStart"/>
      <w:r w:rsidRPr="00650CCB">
        <w:rPr>
          <w:rFonts w:ascii="Arial" w:hAnsi="Arial" w:cs="Arial"/>
          <w:color w:val="000000"/>
          <w:sz w:val="20"/>
          <w:szCs w:val="20"/>
        </w:rPr>
        <w:t>programme</w:t>
      </w:r>
      <w:proofErr w:type="spellEnd"/>
      <w:r w:rsidRPr="00650CCB">
        <w:rPr>
          <w:rFonts w:ascii="Arial" w:hAnsi="Arial" w:cs="Arial"/>
          <w:color w:val="000000"/>
          <w:sz w:val="20"/>
          <w:szCs w:val="20"/>
        </w:rPr>
        <w:t xml:space="preserve"> will potentially reduce duplication on the search and examination work done, thereby saving time and effort. Additionally, search and examination work done on a corresponding application serves as a useful reference in producing quality reports.</w:t>
      </w:r>
    </w:p>
    <w:p w14:paraId="7DE5DDDD" w14:textId="77777777" w:rsidR="002608A5" w:rsidRPr="00650CCB" w:rsidRDefault="002608A5" w:rsidP="002608A5">
      <w:pPr>
        <w:spacing w:after="0" w:line="240" w:lineRule="auto"/>
        <w:jc w:val="both"/>
        <w:rPr>
          <w:rFonts w:ascii="Arial" w:hAnsi="Arial" w:cs="Arial"/>
          <w:color w:val="000000"/>
          <w:sz w:val="20"/>
          <w:szCs w:val="20"/>
          <w:shd w:val="clear" w:color="auto" w:fill="FFFFFF"/>
        </w:rPr>
      </w:pPr>
    </w:p>
    <w:p w14:paraId="767D5102" w14:textId="77777777" w:rsidR="002608A5" w:rsidRPr="00650CCB" w:rsidRDefault="002608A5" w:rsidP="002608A5">
      <w:pPr>
        <w:spacing w:after="0" w:line="240" w:lineRule="auto"/>
        <w:jc w:val="both"/>
        <w:rPr>
          <w:rFonts w:ascii="Arial" w:hAnsi="Arial" w:cs="Arial"/>
          <w:sz w:val="20"/>
          <w:szCs w:val="20"/>
        </w:rPr>
      </w:pPr>
      <w:r w:rsidRPr="00650CCB">
        <w:rPr>
          <w:rFonts w:ascii="Arial" w:hAnsi="Arial" w:cs="Arial"/>
          <w:sz w:val="20"/>
          <w:szCs w:val="20"/>
        </w:rPr>
        <w:t>As of 15 June 2021, as an alternative to the final S&amp;E report, applicants may also use the written opinion (</w:t>
      </w:r>
      <w:r w:rsidRPr="001770D3">
        <w:rPr>
          <w:rFonts w:ascii="Arial" w:hAnsi="Arial" w:cs="Arial"/>
          <w:i/>
          <w:iCs/>
          <w:sz w:val="20"/>
          <w:szCs w:val="20"/>
        </w:rPr>
        <w:t>a non-final assessment of novelty, inventive step, and industrial applicability</w:t>
      </w:r>
      <w:r w:rsidRPr="00650CCB">
        <w:rPr>
          <w:rFonts w:ascii="Arial" w:hAnsi="Arial" w:cs="Arial"/>
          <w:sz w:val="20"/>
          <w:szCs w:val="20"/>
        </w:rPr>
        <w:t>) established by the First IP Office to request ASPEC before the Second IP Office, provided that the Written Opinion acknowledges at least one allowable claim. The sole exception is the Thai IP Office, which continues to accept only final search and examination results in ASPEC requests. Applicants will no longer be required to address any objections raised by the First IP Office, wait for the final examination report to be issued, and then file an ASPEC request with the Second IP Office. Instead, they may file an earlier ASPEC request with the Second IP Office, accompanied by a Written Opinion from the First IP Office, even if not all of the claims are allowed.</w:t>
      </w:r>
    </w:p>
    <w:p w14:paraId="2D0BD916" w14:textId="77777777" w:rsidR="00F61D83" w:rsidRPr="00F61D83" w:rsidRDefault="00F61D83" w:rsidP="00F61D83">
      <w:pPr>
        <w:spacing w:after="0" w:line="240" w:lineRule="auto"/>
        <w:rPr>
          <w:rFonts w:ascii="Arial" w:eastAsia="Calibri" w:hAnsi="Arial" w:cs="Arial"/>
          <w:color w:val="000000"/>
          <w:sz w:val="20"/>
          <w:szCs w:val="20"/>
        </w:rPr>
      </w:pPr>
    </w:p>
    <w:p w14:paraId="0C703989" w14:textId="77777777" w:rsidR="00F61D83" w:rsidRDefault="00F61D83" w:rsidP="00061673">
      <w:pPr>
        <w:spacing w:after="0" w:line="240" w:lineRule="auto"/>
        <w:jc w:val="right"/>
        <w:rPr>
          <w:rFonts w:ascii="Arial" w:hAnsi="Arial" w:cs="Arial"/>
          <w:b/>
          <w:sz w:val="20"/>
          <w:szCs w:val="20"/>
        </w:rPr>
      </w:pPr>
    </w:p>
    <w:p w14:paraId="3344D5DE" w14:textId="111EB5C1" w:rsidR="00E479C0" w:rsidRPr="002608A5" w:rsidRDefault="00061673" w:rsidP="00061673">
      <w:pPr>
        <w:spacing w:after="0" w:line="240" w:lineRule="auto"/>
        <w:jc w:val="right"/>
        <w:rPr>
          <w:rFonts w:ascii="Arial" w:hAnsi="Arial" w:cs="Arial"/>
          <w:b/>
          <w:sz w:val="20"/>
          <w:szCs w:val="20"/>
        </w:rPr>
      </w:pPr>
      <w:r w:rsidRPr="002608A5">
        <w:rPr>
          <w:rFonts w:ascii="Arial" w:hAnsi="Arial" w:cs="Arial"/>
          <w:b/>
          <w:sz w:val="20"/>
          <w:szCs w:val="20"/>
        </w:rPr>
        <w:t>By</w:t>
      </w:r>
      <w:r w:rsidR="002608A5">
        <w:rPr>
          <w:rFonts w:ascii="Arial" w:hAnsi="Arial" w:cs="Arial"/>
          <w:b/>
          <w:sz w:val="20"/>
          <w:szCs w:val="20"/>
        </w:rPr>
        <w:t>:</w:t>
      </w:r>
    </w:p>
    <w:p w14:paraId="4E7E88A7" w14:textId="77777777" w:rsidR="00E479C0" w:rsidRDefault="00E479C0" w:rsidP="00061673">
      <w:pPr>
        <w:spacing w:after="0" w:line="240" w:lineRule="auto"/>
        <w:jc w:val="right"/>
        <w:rPr>
          <w:rFonts w:ascii="Arial" w:hAnsi="Arial" w:cs="Arial"/>
          <w:b/>
          <w:sz w:val="20"/>
          <w:szCs w:val="20"/>
        </w:rPr>
      </w:pPr>
    </w:p>
    <w:p w14:paraId="2929D827" w14:textId="374B1F81" w:rsidR="00061673" w:rsidRDefault="00061673" w:rsidP="00061673">
      <w:pPr>
        <w:spacing w:after="0" w:line="240" w:lineRule="auto"/>
        <w:jc w:val="right"/>
        <w:rPr>
          <w:rFonts w:ascii="Arial" w:hAnsi="Arial" w:cs="Arial"/>
          <w:b/>
          <w:sz w:val="20"/>
          <w:szCs w:val="20"/>
        </w:rPr>
      </w:pPr>
      <w:r>
        <w:rPr>
          <w:rFonts w:ascii="Arial" w:hAnsi="Arial" w:cs="Arial"/>
          <w:b/>
          <w:sz w:val="20"/>
          <w:szCs w:val="20"/>
        </w:rPr>
        <w:t xml:space="preserve"> QUAN</w:t>
      </w:r>
      <w:r w:rsidR="00E479C0">
        <w:rPr>
          <w:rFonts w:ascii="Arial" w:hAnsi="Arial" w:cs="Arial"/>
          <w:b/>
          <w:sz w:val="20"/>
          <w:szCs w:val="20"/>
        </w:rPr>
        <w:t xml:space="preserve">, </w:t>
      </w:r>
      <w:r w:rsidR="00E479C0">
        <w:rPr>
          <w:rFonts w:ascii="Arial" w:hAnsi="Arial" w:cs="Arial"/>
          <w:b/>
          <w:sz w:val="20"/>
          <w:szCs w:val="20"/>
        </w:rPr>
        <w:t xml:space="preserve">Nguyen Vu </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17AF6BF5" w14:textId="77777777" w:rsidR="00E479C0" w:rsidRPr="00E479C0" w:rsidRDefault="00E479C0" w:rsidP="00E479C0">
      <w:pPr>
        <w:spacing w:after="0"/>
        <w:jc w:val="right"/>
        <w:rPr>
          <w:rFonts w:ascii="Arial" w:hAnsi="Arial" w:cs="Arial"/>
          <w:b/>
          <w:sz w:val="20"/>
          <w:szCs w:val="20"/>
        </w:rPr>
      </w:pPr>
      <w:r w:rsidRPr="00E479C0">
        <w:rPr>
          <w:rFonts w:ascii="Arial" w:hAnsi="Arial" w:cs="Arial"/>
          <w:b/>
          <w:sz w:val="20"/>
          <w:szCs w:val="20"/>
        </w:rPr>
        <w:t xml:space="preserve">NGA, Dao </w:t>
      </w:r>
      <w:proofErr w:type="spellStart"/>
      <w:r w:rsidRPr="00E479C0">
        <w:rPr>
          <w:rFonts w:ascii="Arial" w:hAnsi="Arial" w:cs="Arial"/>
          <w:b/>
          <w:sz w:val="20"/>
          <w:szCs w:val="20"/>
        </w:rPr>
        <w:t>Thi</w:t>
      </w:r>
      <w:proofErr w:type="spellEnd"/>
      <w:r w:rsidRPr="00E479C0">
        <w:rPr>
          <w:rFonts w:ascii="Arial" w:hAnsi="Arial" w:cs="Arial"/>
          <w:b/>
          <w:sz w:val="20"/>
          <w:szCs w:val="20"/>
        </w:rPr>
        <w:t xml:space="preserve"> </w:t>
      </w:r>
      <w:proofErr w:type="spellStart"/>
      <w:r w:rsidRPr="00E479C0">
        <w:rPr>
          <w:rFonts w:ascii="Arial" w:hAnsi="Arial" w:cs="Arial"/>
          <w:b/>
          <w:sz w:val="20"/>
          <w:szCs w:val="20"/>
        </w:rPr>
        <w:t>Thuy</w:t>
      </w:r>
      <w:proofErr w:type="spellEnd"/>
    </w:p>
    <w:p w14:paraId="04C6A820" w14:textId="3FCD6175" w:rsidR="00E479C0" w:rsidRPr="00E479C0" w:rsidRDefault="00E479C0" w:rsidP="00E479C0">
      <w:pPr>
        <w:spacing w:after="0"/>
        <w:jc w:val="right"/>
        <w:rPr>
          <w:rFonts w:ascii="Arial" w:hAnsi="Arial" w:cs="Arial"/>
          <w:b/>
          <w:sz w:val="20"/>
          <w:szCs w:val="20"/>
        </w:rPr>
      </w:pPr>
      <w:r w:rsidRPr="00E479C0">
        <w:rPr>
          <w:rFonts w:ascii="Arial" w:hAnsi="Arial" w:cs="Arial"/>
          <w:b/>
          <w:sz w:val="20"/>
          <w:szCs w:val="20"/>
        </w:rPr>
        <w:t>Senior Patent Associate</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7907236A">
                <wp:simplePos x="0" y="0"/>
                <wp:positionH relativeFrom="column">
                  <wp:posOffset>3810</wp:posOffset>
                </wp:positionH>
                <wp:positionV relativeFrom="paragraph">
                  <wp:posOffset>166370</wp:posOffset>
                </wp:positionV>
                <wp:extent cx="3352800" cy="1228725"/>
                <wp:effectExtent l="0" t="0" r="19050" b="28575"/>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22872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w:t>
                            </w:r>
                            <w:proofErr w:type="spellStart"/>
                            <w:r w:rsidRPr="00B31724">
                              <w:rPr>
                                <w:rFonts w:ascii="Arial" w:hAnsi="Arial" w:cs="Arial"/>
                                <w:sz w:val="20"/>
                                <w:szCs w:val="20"/>
                              </w:rPr>
                              <w:t>Thanh</w:t>
                            </w:r>
                            <w:proofErr w:type="spellEnd"/>
                            <w:r w:rsidRPr="00B31724">
                              <w:rPr>
                                <w:rFonts w:ascii="Arial" w:hAnsi="Arial" w:cs="Arial"/>
                                <w:sz w:val="20"/>
                                <w:szCs w:val="20"/>
                              </w:rPr>
                              <w:t xml:space="preserve"> </w:t>
                            </w:r>
                            <w:proofErr w:type="spellStart"/>
                            <w:r w:rsidRPr="00B31724">
                              <w:rPr>
                                <w:rFonts w:ascii="Arial" w:hAnsi="Arial" w:cs="Arial"/>
                                <w:sz w:val="20"/>
                                <w:szCs w:val="20"/>
                              </w:rPr>
                              <w:t>Xuan</w:t>
                            </w:r>
                            <w:proofErr w:type="spellEnd"/>
                            <w:r w:rsidRPr="00B31724">
                              <w:rPr>
                                <w:rFonts w:ascii="Arial" w:hAnsi="Arial" w:cs="Arial"/>
                                <w:sz w:val="20"/>
                                <w:szCs w:val="20"/>
                              </w:rPr>
                              <w:t xml:space="preserve">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3pt;margin-top:13.1pt;width:264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w:t>
                      </w:r>
                      <w:proofErr w:type="spellStart"/>
                      <w:r w:rsidRPr="00B31724">
                        <w:rPr>
                          <w:rFonts w:ascii="Arial" w:hAnsi="Arial" w:cs="Arial"/>
                          <w:sz w:val="20"/>
                          <w:szCs w:val="20"/>
                        </w:rPr>
                        <w:t>Thanh</w:t>
                      </w:r>
                      <w:proofErr w:type="spellEnd"/>
                      <w:r w:rsidRPr="00B31724">
                        <w:rPr>
                          <w:rFonts w:ascii="Arial" w:hAnsi="Arial" w:cs="Arial"/>
                          <w:sz w:val="20"/>
                          <w:szCs w:val="20"/>
                        </w:rPr>
                        <w:t xml:space="preserve"> </w:t>
                      </w:r>
                      <w:proofErr w:type="spellStart"/>
                      <w:r w:rsidRPr="00B31724">
                        <w:rPr>
                          <w:rFonts w:ascii="Arial" w:hAnsi="Arial" w:cs="Arial"/>
                          <w:sz w:val="20"/>
                          <w:szCs w:val="20"/>
                        </w:rPr>
                        <w:t>Xuan</w:t>
                      </w:r>
                      <w:proofErr w:type="spellEnd"/>
                      <w:r w:rsidRPr="00B31724">
                        <w:rPr>
                          <w:rFonts w:ascii="Arial" w:hAnsi="Arial" w:cs="Arial"/>
                          <w:sz w:val="20"/>
                          <w:szCs w:val="20"/>
                        </w:rPr>
                        <w:t xml:space="preserve">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1CE92" w14:textId="77777777" w:rsidR="00EB39EC" w:rsidRDefault="00EB39EC" w:rsidP="0084231D">
      <w:pPr>
        <w:spacing w:after="0" w:line="240" w:lineRule="auto"/>
      </w:pPr>
      <w:r>
        <w:separator/>
      </w:r>
    </w:p>
  </w:endnote>
  <w:endnote w:type="continuationSeparator" w:id="0">
    <w:p w14:paraId="47965AF6" w14:textId="77777777" w:rsidR="00EB39EC" w:rsidRDefault="00EB39EC"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6E16378F" w:rsidR="00C62253" w:rsidRPr="00FF7ED4" w:rsidRDefault="00EB39EC">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C62253" w:rsidRPr="00FF7ED4">
              <w:rPr>
                <w:sz w:val="18"/>
                <w:szCs w:val="18"/>
              </w:rPr>
              <w:t xml:space="preserve"> </w:t>
            </w:r>
            <w:r w:rsidR="00C62253" w:rsidRPr="00FF7ED4">
              <w:rPr>
                <w:rFonts w:ascii="Arial" w:hAnsi="Arial" w:cs="Arial"/>
                <w:b/>
                <w:sz w:val="18"/>
                <w:szCs w:val="18"/>
              </w:rPr>
              <w:t xml:space="preserve">Page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727721">
              <w:rPr>
                <w:rFonts w:ascii="Arial" w:hAnsi="Arial" w:cs="Arial"/>
                <w:b/>
                <w:noProof/>
                <w:sz w:val="18"/>
                <w:szCs w:val="18"/>
              </w:rPr>
              <w:t>3</w:t>
            </w:r>
            <w:r w:rsidR="00C62253" w:rsidRPr="00FF7ED4">
              <w:rPr>
                <w:rFonts w:ascii="Arial" w:hAnsi="Arial" w:cs="Arial"/>
                <w:b/>
                <w:sz w:val="18"/>
                <w:szCs w:val="18"/>
              </w:rPr>
              <w:fldChar w:fldCharType="end"/>
            </w:r>
            <w:r w:rsidR="00C62253" w:rsidRPr="00FF7ED4">
              <w:rPr>
                <w:rFonts w:ascii="Arial" w:hAnsi="Arial" w:cs="Arial"/>
                <w:b/>
                <w:sz w:val="18"/>
                <w:szCs w:val="18"/>
              </w:rPr>
              <w:t xml:space="preserve"> of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727721">
              <w:rPr>
                <w:rFonts w:ascii="Arial" w:hAnsi="Arial" w:cs="Arial"/>
                <w:b/>
                <w:noProof/>
                <w:sz w:val="18"/>
                <w:szCs w:val="18"/>
              </w:rPr>
              <w:t>3</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C1A27" w14:textId="77777777" w:rsidR="00EB39EC" w:rsidRDefault="00EB39EC" w:rsidP="0084231D">
      <w:pPr>
        <w:spacing w:after="0" w:line="240" w:lineRule="auto"/>
      </w:pPr>
      <w:r>
        <w:separator/>
      </w:r>
    </w:p>
  </w:footnote>
  <w:footnote w:type="continuationSeparator" w:id="0">
    <w:p w14:paraId="69742A2D" w14:textId="77777777" w:rsidR="00EB39EC" w:rsidRDefault="00EB39EC"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E6941"/>
    <w:multiLevelType w:val="hybridMultilevel"/>
    <w:tmpl w:val="6EE6C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5147F0"/>
    <w:multiLevelType w:val="hybridMultilevel"/>
    <w:tmpl w:val="E9109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BC27F1"/>
    <w:multiLevelType w:val="hybridMultilevel"/>
    <w:tmpl w:val="218446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8"/>
  </w:num>
  <w:num w:numId="5">
    <w:abstractNumId w:val="4"/>
  </w:num>
  <w:num w:numId="6">
    <w:abstractNumId w:val="2"/>
  </w:num>
  <w:num w:numId="7">
    <w:abstractNumId w:val="3"/>
  </w:num>
  <w:num w:numId="8">
    <w:abstractNumId w:val="10"/>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045593"/>
    <w:rsid w:val="00061673"/>
    <w:rsid w:val="00247DDD"/>
    <w:rsid w:val="002608A5"/>
    <w:rsid w:val="002E1F66"/>
    <w:rsid w:val="00312D71"/>
    <w:rsid w:val="00370A22"/>
    <w:rsid w:val="00476083"/>
    <w:rsid w:val="004A6F5C"/>
    <w:rsid w:val="004B370D"/>
    <w:rsid w:val="00564F23"/>
    <w:rsid w:val="0059620B"/>
    <w:rsid w:val="005B18E6"/>
    <w:rsid w:val="00615BD8"/>
    <w:rsid w:val="0062638A"/>
    <w:rsid w:val="00643775"/>
    <w:rsid w:val="006813C5"/>
    <w:rsid w:val="00681DC1"/>
    <w:rsid w:val="006F7951"/>
    <w:rsid w:val="00715A8B"/>
    <w:rsid w:val="00727721"/>
    <w:rsid w:val="00754A2D"/>
    <w:rsid w:val="007B6698"/>
    <w:rsid w:val="007E182F"/>
    <w:rsid w:val="0084231D"/>
    <w:rsid w:val="0089209D"/>
    <w:rsid w:val="008950FE"/>
    <w:rsid w:val="008C2C2F"/>
    <w:rsid w:val="008C3F8A"/>
    <w:rsid w:val="00925E49"/>
    <w:rsid w:val="009455DD"/>
    <w:rsid w:val="00993A6E"/>
    <w:rsid w:val="00A01102"/>
    <w:rsid w:val="00A14A38"/>
    <w:rsid w:val="00A35503"/>
    <w:rsid w:val="00AC1D69"/>
    <w:rsid w:val="00AE1213"/>
    <w:rsid w:val="00B54069"/>
    <w:rsid w:val="00B94C0F"/>
    <w:rsid w:val="00BC6978"/>
    <w:rsid w:val="00BC6C00"/>
    <w:rsid w:val="00C22B48"/>
    <w:rsid w:val="00C34C8A"/>
    <w:rsid w:val="00C36BC9"/>
    <w:rsid w:val="00C62253"/>
    <w:rsid w:val="00C9104F"/>
    <w:rsid w:val="00D0094C"/>
    <w:rsid w:val="00D5705E"/>
    <w:rsid w:val="00E30EB7"/>
    <w:rsid w:val="00E479C0"/>
    <w:rsid w:val="00E61A17"/>
    <w:rsid w:val="00E6401E"/>
    <w:rsid w:val="00E6699F"/>
    <w:rsid w:val="00EB39EC"/>
    <w:rsid w:val="00F0241C"/>
    <w:rsid w:val="00F1775A"/>
    <w:rsid w:val="00F3491E"/>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character" w:customStyle="1" w:styleId="fontstyle01">
    <w:name w:val="fontstyle01"/>
    <w:basedOn w:val="DefaultParagraphFont"/>
    <w:rsid w:val="002608A5"/>
    <w:rPr>
      <w:rFonts w:ascii="TimesNewRomanPSMT" w:hAnsi="TimesNewRomanPSMT" w:hint="default"/>
      <w:b w:val="0"/>
      <w:bCs w:val="0"/>
      <w:i w:val="0"/>
      <w:iCs w:val="0"/>
      <w:color w:val="000000"/>
      <w:sz w:val="24"/>
      <w:szCs w:val="24"/>
    </w:rPr>
  </w:style>
  <w:style w:type="character" w:customStyle="1" w:styleId="q4iawc">
    <w:name w:val="q4iawc"/>
    <w:basedOn w:val="DefaultParagraphFont"/>
    <w:rsid w:val="00260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character" w:customStyle="1" w:styleId="fontstyle01">
    <w:name w:val="fontstyle01"/>
    <w:basedOn w:val="DefaultParagraphFont"/>
    <w:rsid w:val="002608A5"/>
    <w:rPr>
      <w:rFonts w:ascii="TimesNewRomanPSMT" w:hAnsi="TimesNewRomanPSMT" w:hint="default"/>
      <w:b w:val="0"/>
      <w:bCs w:val="0"/>
      <w:i w:val="0"/>
      <w:iCs w:val="0"/>
      <w:color w:val="000000"/>
      <w:sz w:val="24"/>
      <w:szCs w:val="24"/>
    </w:rPr>
  </w:style>
  <w:style w:type="character" w:customStyle="1" w:styleId="q4iawc">
    <w:name w:val="q4iawc"/>
    <w:basedOn w:val="DefaultParagraphFont"/>
    <w:rsid w:val="00260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33</cp:revision>
  <cp:lastPrinted>2022-10-04T06:43:00Z</cp:lastPrinted>
  <dcterms:created xsi:type="dcterms:W3CDTF">2022-05-10T10:16:00Z</dcterms:created>
  <dcterms:modified xsi:type="dcterms:W3CDTF">2022-10-04T06:43:00Z</dcterms:modified>
</cp:coreProperties>
</file>