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109" w14:textId="77777777" w:rsidR="00A40283" w:rsidRPr="00D91C11" w:rsidRDefault="00A40283" w:rsidP="001F00A9">
      <w:pPr>
        <w:pStyle w:val="Title"/>
        <w:spacing w:before="0" w:line="240" w:lineRule="auto"/>
        <w:ind w:left="0"/>
        <w:jc w:val="right"/>
        <w:rPr>
          <w:rFonts w:ascii="Cambria" w:hAnsi="Cambria"/>
          <w:sz w:val="22"/>
          <w:szCs w:val="22"/>
          <w:lang w:val="en-US"/>
        </w:rPr>
      </w:pPr>
      <w:r w:rsidRPr="00D91C11">
        <w:rPr>
          <w:rFonts w:ascii="Cambria" w:hAnsi="Cambria"/>
          <w:sz w:val="22"/>
          <w:szCs w:val="22"/>
          <w:lang w:val="en-US"/>
        </w:rPr>
        <w:t xml:space="preserve"> </w:t>
      </w:r>
      <w:r w:rsidRPr="00D91C11">
        <w:rPr>
          <w:rFonts w:ascii="Cambria" w:hAnsi="Cambria"/>
          <w:spacing w:val="-9"/>
          <w:sz w:val="22"/>
          <w:szCs w:val="22"/>
          <w:lang w:val="en-US"/>
        </w:rPr>
        <w:t xml:space="preserve"> </w:t>
      </w:r>
      <w:r w:rsidRPr="00D91C11">
        <w:rPr>
          <w:rFonts w:ascii="Cambria" w:hAnsi="Cambria"/>
          <w:sz w:val="22"/>
          <w:szCs w:val="22"/>
          <w:lang w:val="en-US"/>
        </w:rPr>
        <w:t xml:space="preserve"> </w:t>
      </w:r>
      <w:r w:rsidRPr="00D91C11">
        <w:rPr>
          <w:rFonts w:ascii="Cambria" w:hAnsi="Cambria"/>
          <w:spacing w:val="-8"/>
          <w:sz w:val="22"/>
          <w:szCs w:val="22"/>
          <w:lang w:val="en-US"/>
        </w:rPr>
        <w:t xml:space="preserve"> </w:t>
      </w:r>
      <w:r w:rsidRPr="00D91C11">
        <w:rPr>
          <w:rFonts w:ascii="Cambria" w:hAnsi="Cambria"/>
          <w:sz w:val="22"/>
          <w:szCs w:val="22"/>
          <w:lang w:val="en-US"/>
        </w:rPr>
        <w:t xml:space="preserve"> LEGAL</w:t>
      </w:r>
      <w:r w:rsidRPr="00D91C11">
        <w:rPr>
          <w:rFonts w:ascii="Cambria" w:hAnsi="Cambria"/>
          <w:spacing w:val="-31"/>
          <w:sz w:val="22"/>
          <w:szCs w:val="22"/>
          <w:lang w:val="en-US"/>
        </w:rPr>
        <w:t xml:space="preserve"> </w:t>
      </w:r>
      <w:r w:rsidRPr="00D91C11">
        <w:rPr>
          <w:rFonts w:ascii="Cambria" w:hAnsi="Cambria"/>
          <w:sz w:val="22"/>
          <w:szCs w:val="22"/>
          <w:lang w:val="en-US"/>
        </w:rPr>
        <w:t>NEWSLETTER</w:t>
      </w:r>
    </w:p>
    <w:p w14:paraId="1A02379C" w14:textId="6B1DCE54" w:rsidR="00A40283" w:rsidRPr="00D91C11" w:rsidRDefault="00C70FCC" w:rsidP="001F00A9">
      <w:pPr>
        <w:pStyle w:val="BodyText"/>
        <w:ind w:left="5529" w:right="497"/>
        <w:jc w:val="right"/>
        <w:rPr>
          <w:rFonts w:ascii="Cambria" w:hAnsi="Cambria"/>
          <w:lang w:val="en-US"/>
        </w:rPr>
      </w:pPr>
      <w:r w:rsidRPr="00D91C11">
        <w:rPr>
          <w:rFonts w:ascii="Cambria" w:hAnsi="Cambria"/>
          <w:spacing w:val="-9"/>
          <w:lang w:val="en-US"/>
        </w:rPr>
        <w:t>January</w:t>
      </w:r>
      <w:r w:rsidR="00110A32" w:rsidRPr="00D91C11">
        <w:rPr>
          <w:rFonts w:ascii="Cambria" w:hAnsi="Cambria"/>
          <w:spacing w:val="-9"/>
          <w:lang w:val="en-US"/>
        </w:rPr>
        <w:t xml:space="preserve"> </w:t>
      </w:r>
      <w:r w:rsidR="00A40283" w:rsidRPr="00D91C11">
        <w:rPr>
          <w:rFonts w:ascii="Cambria" w:hAnsi="Cambria"/>
          <w:spacing w:val="-9"/>
          <w:lang w:val="en-US"/>
        </w:rPr>
        <w:t>202</w:t>
      </w:r>
      <w:r w:rsidR="00110A32" w:rsidRPr="00D91C11">
        <w:rPr>
          <w:rFonts w:ascii="Cambria" w:hAnsi="Cambria"/>
          <w:spacing w:val="-9"/>
          <w:lang w:val="en-US"/>
        </w:rPr>
        <w:t>3</w:t>
      </w:r>
    </w:p>
    <w:p w14:paraId="621C1E22" w14:textId="77777777" w:rsidR="00A40283" w:rsidRPr="00D91C11" w:rsidRDefault="00A40283" w:rsidP="001F00A9">
      <w:pPr>
        <w:pStyle w:val="Heading1"/>
        <w:tabs>
          <w:tab w:val="right" w:pos="9360"/>
        </w:tabs>
        <w:ind w:left="5529"/>
        <w:rPr>
          <w:rFonts w:ascii="Cambria" w:hAnsi="Cambria"/>
          <w:lang w:val="en-US"/>
        </w:rPr>
      </w:pPr>
    </w:p>
    <w:p w14:paraId="6BBCDC9C" w14:textId="78FE0AA6" w:rsidR="00A40283" w:rsidRPr="00D91C11" w:rsidRDefault="00A40283" w:rsidP="001F00A9">
      <w:pPr>
        <w:pStyle w:val="Heading1"/>
        <w:ind w:hanging="837"/>
        <w:rPr>
          <w:rFonts w:ascii="Cambria" w:hAnsi="Cambria"/>
          <w:lang w:val="en-US"/>
        </w:rPr>
      </w:pPr>
      <w:r w:rsidRPr="00D91C11">
        <w:rPr>
          <w:rFonts w:ascii="Cambria" w:hAnsi="Cambria"/>
          <w:lang w:val="en-US"/>
        </w:rPr>
        <w:t>Dear Value</w:t>
      </w:r>
      <w:r w:rsidR="002B70D3" w:rsidRPr="00D91C11">
        <w:rPr>
          <w:rFonts w:ascii="Cambria" w:hAnsi="Cambria"/>
          <w:lang w:val="en-US"/>
        </w:rPr>
        <w:t>d</w:t>
      </w:r>
      <w:r w:rsidRPr="00D91C11">
        <w:rPr>
          <w:rFonts w:ascii="Cambria" w:hAnsi="Cambria"/>
          <w:lang w:val="en-US"/>
        </w:rPr>
        <w:t xml:space="preserve"> Clients and Partners,</w:t>
      </w:r>
    </w:p>
    <w:p w14:paraId="476839D8" w14:textId="77777777" w:rsidR="00A40283" w:rsidRPr="00D91C11" w:rsidRDefault="00A40283" w:rsidP="001F00A9">
      <w:pPr>
        <w:pStyle w:val="BodyText"/>
        <w:rPr>
          <w:rFonts w:ascii="Cambria" w:hAnsi="Cambria"/>
          <w:b/>
          <w:lang w:val="en-US"/>
        </w:rPr>
      </w:pPr>
    </w:p>
    <w:p w14:paraId="047FDFF9" w14:textId="3A8896EB" w:rsidR="00A40283" w:rsidRPr="00D91C11" w:rsidRDefault="00A40283" w:rsidP="001F00A9">
      <w:pPr>
        <w:pStyle w:val="BodyText"/>
        <w:ind w:right="146"/>
        <w:jc w:val="both"/>
        <w:rPr>
          <w:rFonts w:ascii="Cambria" w:hAnsi="Cambria"/>
          <w:lang w:val="en-US"/>
        </w:rPr>
      </w:pPr>
      <w:r w:rsidRPr="00D91C11">
        <w:rPr>
          <w:rFonts w:ascii="Cambria" w:hAnsi="Cambria"/>
          <w:lang w:val="en-US"/>
        </w:rPr>
        <w:t xml:space="preserve">ADK Vietnam Lawyers would like to introduce to you the </w:t>
      </w:r>
      <w:r w:rsidR="00C70FCC" w:rsidRPr="00D91C11">
        <w:rPr>
          <w:rFonts w:ascii="Cambria" w:hAnsi="Cambria"/>
          <w:lang w:val="en-US"/>
        </w:rPr>
        <w:t>January</w:t>
      </w:r>
      <w:r w:rsidRPr="00D91C11">
        <w:rPr>
          <w:rFonts w:ascii="Cambria" w:hAnsi="Cambria"/>
          <w:lang w:val="en-US"/>
        </w:rPr>
        <w:t xml:space="preserve"> 202</w:t>
      </w:r>
      <w:r w:rsidR="00110A32" w:rsidRPr="00D91C11">
        <w:rPr>
          <w:rFonts w:ascii="Cambria" w:hAnsi="Cambria"/>
          <w:lang w:val="en-US"/>
        </w:rPr>
        <w:t>3</w:t>
      </w:r>
      <w:r w:rsidRPr="00D91C11">
        <w:rPr>
          <w:rFonts w:ascii="Cambria" w:hAnsi="Cambria"/>
          <w:lang w:val="en-US"/>
        </w:rPr>
        <w:t xml:space="preserve"> Legal Newsletter with the following main contents:</w:t>
      </w:r>
    </w:p>
    <w:p w14:paraId="38C01864" w14:textId="77777777" w:rsidR="00A40283" w:rsidRPr="00D91C11" w:rsidRDefault="00A40283" w:rsidP="001F00A9">
      <w:pPr>
        <w:pStyle w:val="BodyText"/>
        <w:rPr>
          <w:rFonts w:ascii="Cambria" w:hAnsi="Cambria"/>
          <w:lang w:val="en-US"/>
        </w:rPr>
      </w:pPr>
    </w:p>
    <w:p w14:paraId="3C74925D" w14:textId="77777777" w:rsidR="00A40283" w:rsidRPr="00D91C11" w:rsidRDefault="00A40283" w:rsidP="001F00A9">
      <w:pPr>
        <w:pStyle w:val="Heading1"/>
        <w:numPr>
          <w:ilvl w:val="0"/>
          <w:numId w:val="1"/>
        </w:numPr>
        <w:tabs>
          <w:tab w:val="left" w:pos="836"/>
          <w:tab w:val="left" w:pos="837"/>
        </w:tabs>
        <w:ind w:left="709"/>
        <w:rPr>
          <w:rFonts w:ascii="Cambria" w:hAnsi="Cambria"/>
          <w:lang w:val="en-US"/>
        </w:rPr>
      </w:pPr>
      <w:bookmarkStart w:id="0" w:name="1._Phỏng_vấn_với_Asia_Law_Portal"/>
      <w:bookmarkEnd w:id="0"/>
      <w:r w:rsidRPr="00D91C11">
        <w:rPr>
          <w:rFonts w:ascii="Cambria" w:hAnsi="Cambria"/>
          <w:lang w:val="en-US"/>
        </w:rPr>
        <w:t>Legal Spotlight</w:t>
      </w:r>
    </w:p>
    <w:p w14:paraId="5F1FD20D" w14:textId="77777777" w:rsidR="00A40283" w:rsidRPr="00D91C11" w:rsidRDefault="00A40283" w:rsidP="001F00A9">
      <w:pPr>
        <w:pStyle w:val="Heading1"/>
        <w:tabs>
          <w:tab w:val="left" w:pos="836"/>
          <w:tab w:val="left" w:pos="837"/>
        </w:tabs>
        <w:ind w:left="709" w:hanging="709"/>
        <w:rPr>
          <w:rFonts w:ascii="Cambria" w:hAnsi="Cambria"/>
          <w:lang w:val="en-US"/>
        </w:rPr>
      </w:pPr>
    </w:p>
    <w:p w14:paraId="47578F56" w14:textId="00FFB460" w:rsidR="00A40283" w:rsidRPr="00D91C11" w:rsidRDefault="002373E4" w:rsidP="001F00A9">
      <w:pPr>
        <w:pStyle w:val="ListParagraph"/>
        <w:widowControl/>
        <w:numPr>
          <w:ilvl w:val="1"/>
          <w:numId w:val="3"/>
        </w:numPr>
        <w:autoSpaceDE/>
        <w:autoSpaceDN/>
        <w:ind w:left="709" w:hanging="709"/>
        <w:contextualSpacing/>
        <w:jc w:val="both"/>
        <w:rPr>
          <w:rFonts w:ascii="Cambria" w:hAnsi="Cambria"/>
          <w:b/>
          <w:lang w:val="en-US"/>
        </w:rPr>
      </w:pPr>
      <w:r w:rsidRPr="00D91C11">
        <w:rPr>
          <w:rFonts w:ascii="Cambria" w:hAnsi="Cambria"/>
          <w:b/>
          <w:lang w:val="en-US"/>
        </w:rPr>
        <w:t>The value-added tax rate imposed on the supply of goods and services returns to 10% in 2023</w:t>
      </w:r>
    </w:p>
    <w:p w14:paraId="5F86C5CF" w14:textId="77777777" w:rsidR="00564A66" w:rsidRPr="00D91C11" w:rsidRDefault="00564A66" w:rsidP="001F00A9">
      <w:pPr>
        <w:pStyle w:val="ListParagraph"/>
        <w:widowControl/>
        <w:autoSpaceDE/>
        <w:autoSpaceDN/>
        <w:ind w:left="709" w:firstLine="0"/>
        <w:contextualSpacing/>
        <w:jc w:val="both"/>
        <w:rPr>
          <w:rFonts w:ascii="Cambria" w:hAnsi="Cambria"/>
          <w:b/>
          <w:lang w:val="en-US"/>
        </w:rPr>
      </w:pPr>
    </w:p>
    <w:p w14:paraId="0CD7DA64" w14:textId="414E33C3" w:rsidR="00B72BEA" w:rsidRPr="00D91C11" w:rsidRDefault="002373E4" w:rsidP="001F00A9">
      <w:pPr>
        <w:pStyle w:val="ListParagraph"/>
        <w:ind w:left="709" w:firstLine="0"/>
        <w:jc w:val="both"/>
        <w:rPr>
          <w:rFonts w:ascii="Cambria" w:hAnsi="Cambria"/>
          <w:lang w:val="en-US"/>
        </w:rPr>
      </w:pPr>
      <w:r w:rsidRPr="00D91C11">
        <w:rPr>
          <w:rFonts w:ascii="Cambria" w:hAnsi="Cambria"/>
          <w:bCs/>
          <w:lang w:val="en-US"/>
        </w:rPr>
        <w:t xml:space="preserve">Previously, on January 11, 2022, the National Assembly issued Resolution No. 43/2022/QH15 </w:t>
      </w:r>
      <w:r w:rsidR="00436FC4" w:rsidRPr="00D91C11">
        <w:rPr>
          <w:rFonts w:ascii="Cambria" w:hAnsi="Cambria"/>
          <w:bCs/>
          <w:lang w:val="en-US"/>
        </w:rPr>
        <w:t>stipulating</w:t>
      </w:r>
      <w:r w:rsidRPr="00D91C11">
        <w:rPr>
          <w:rFonts w:ascii="Cambria" w:hAnsi="Cambria"/>
          <w:bCs/>
          <w:lang w:val="en-US"/>
        </w:rPr>
        <w:t xml:space="preserve"> </w:t>
      </w:r>
      <w:r w:rsidR="00436FC4" w:rsidRPr="00D91C11">
        <w:rPr>
          <w:rFonts w:ascii="Cambria" w:hAnsi="Cambria"/>
          <w:bCs/>
          <w:lang w:val="en-US"/>
        </w:rPr>
        <w:t>fiscal and monetary policies for supporting socio-economic recovery and development program</w:t>
      </w:r>
      <w:r w:rsidRPr="00D91C11">
        <w:rPr>
          <w:rFonts w:ascii="Cambria" w:hAnsi="Cambria"/>
          <w:bCs/>
          <w:lang w:val="en-US"/>
        </w:rPr>
        <w:t xml:space="preserve"> (hereinafter referred to as “</w:t>
      </w:r>
      <w:r w:rsidRPr="00D91C11">
        <w:rPr>
          <w:rFonts w:ascii="Cambria" w:hAnsi="Cambria"/>
          <w:b/>
          <w:lang w:val="en-US"/>
        </w:rPr>
        <w:t>Resolution 43/2022/QH15</w:t>
      </w:r>
      <w:r w:rsidRPr="00D91C11">
        <w:rPr>
          <w:rFonts w:ascii="Cambria" w:hAnsi="Cambria"/>
          <w:bCs/>
          <w:lang w:val="en-US"/>
        </w:rPr>
        <w:t xml:space="preserve">”). </w:t>
      </w:r>
      <w:r w:rsidR="00436FC4" w:rsidRPr="00D91C11">
        <w:rPr>
          <w:rFonts w:ascii="Cambria" w:hAnsi="Cambria"/>
          <w:bCs/>
          <w:lang w:val="en-US"/>
        </w:rPr>
        <w:t>Accordingly</w:t>
      </w:r>
      <w:r w:rsidRPr="00D91C11">
        <w:rPr>
          <w:rFonts w:ascii="Cambria" w:hAnsi="Cambria"/>
          <w:bCs/>
          <w:lang w:val="en-US"/>
        </w:rPr>
        <w:t xml:space="preserve">, the National Assembly has approved the policy of reducing </w:t>
      </w:r>
      <w:r w:rsidR="00436FC4" w:rsidRPr="00D91C11">
        <w:rPr>
          <w:rFonts w:ascii="Cambria" w:hAnsi="Cambria"/>
          <w:bCs/>
          <w:lang w:val="en-US"/>
        </w:rPr>
        <w:t>2% of VAT in 2022 for goods and services currently subject to 10% VAT, except for the following goods and services: telecommunication, financial activities, banking activities, securities, insurance, trading of real estate, metal, precast metal products, mining products (excluding coal mining), coke mining, refined oil, chemical products, goods and services subject to on special sales tax</w:t>
      </w:r>
      <w:r w:rsidRPr="00D91C11">
        <w:rPr>
          <w:rFonts w:ascii="Cambria" w:hAnsi="Cambria"/>
          <w:bCs/>
          <w:lang w:val="en-US"/>
        </w:rPr>
        <w:t xml:space="preserve">. </w:t>
      </w:r>
      <w:r w:rsidR="00436FC4" w:rsidRPr="00D91C11">
        <w:rPr>
          <w:rFonts w:ascii="Cambria" w:hAnsi="Cambria"/>
          <w:bCs/>
          <w:lang w:val="en-US"/>
        </w:rPr>
        <w:t>This means that the VAT rate for the above goods and services is only 8%</w:t>
      </w:r>
      <w:r w:rsidR="00B72BEA" w:rsidRPr="00D91C11">
        <w:rPr>
          <w:rFonts w:ascii="Cambria" w:hAnsi="Cambria"/>
          <w:bCs/>
          <w:lang w:val="en-US"/>
        </w:rPr>
        <w:t>.</w:t>
      </w:r>
    </w:p>
    <w:p w14:paraId="4FE1E4A7" w14:textId="77777777" w:rsidR="00B72BEA" w:rsidRPr="00D91C11" w:rsidRDefault="00B72BEA" w:rsidP="001F00A9">
      <w:pPr>
        <w:ind w:left="709"/>
        <w:jc w:val="both"/>
        <w:rPr>
          <w:rFonts w:ascii="Cambria" w:hAnsi="Cambria"/>
          <w:lang w:val="en-US"/>
        </w:rPr>
      </w:pPr>
    </w:p>
    <w:p w14:paraId="76D62A96" w14:textId="1E74917C" w:rsidR="00436FC4" w:rsidRPr="00D91C11" w:rsidRDefault="00A17C51" w:rsidP="001F00A9">
      <w:pPr>
        <w:ind w:left="709"/>
        <w:jc w:val="both"/>
        <w:rPr>
          <w:rFonts w:ascii="Cambria" w:hAnsi="Cambria"/>
          <w:bCs/>
          <w:lang w:val="en-US"/>
        </w:rPr>
      </w:pPr>
      <w:r w:rsidRPr="00D91C11">
        <w:rPr>
          <w:rFonts w:ascii="Cambria" w:hAnsi="Cambria"/>
          <w:bCs/>
          <w:lang w:val="en-US"/>
        </w:rPr>
        <w:t>In order to</w:t>
      </w:r>
      <w:r w:rsidR="00436FC4" w:rsidRPr="00D91C11">
        <w:rPr>
          <w:rFonts w:ascii="Cambria" w:hAnsi="Cambria"/>
          <w:bCs/>
          <w:lang w:val="en-US"/>
        </w:rPr>
        <w:t xml:space="preserve"> guide the implementation of the above Resolution 43/2022/QH15, the Government issued Decree No. 15/2022/ND-CP stipulating tax exemption and reduction under Resolution no. 43/2022/QH15 of National Assembly on fiscal and monetary policies for supporting socio-economic recovery and development program</w:t>
      </w:r>
      <w:r w:rsidR="002B70D3" w:rsidRPr="00D91C11">
        <w:rPr>
          <w:rFonts w:ascii="Cambria" w:hAnsi="Cambria"/>
          <w:bCs/>
          <w:lang w:val="en-US"/>
        </w:rPr>
        <w:t>s</w:t>
      </w:r>
      <w:r w:rsidR="00436FC4" w:rsidRPr="00D91C11">
        <w:rPr>
          <w:rFonts w:ascii="Cambria" w:hAnsi="Cambria"/>
          <w:bCs/>
          <w:lang w:val="en-US"/>
        </w:rPr>
        <w:t xml:space="preserve">. </w:t>
      </w:r>
      <w:r w:rsidRPr="00D91C11">
        <w:rPr>
          <w:rFonts w:ascii="Cambria" w:hAnsi="Cambria"/>
          <w:bCs/>
          <w:lang w:val="en-US"/>
        </w:rPr>
        <w:t>In particular, this Decree clearly stipulates that the mentioned VAT reduction policy shall take effect from February 01, 2022 to the end of December 31, 2022.</w:t>
      </w:r>
    </w:p>
    <w:p w14:paraId="17BC1991" w14:textId="262D9D9A" w:rsidR="00A17C51" w:rsidRPr="00D91C11" w:rsidRDefault="00A17C51" w:rsidP="001F00A9">
      <w:pPr>
        <w:ind w:left="709"/>
        <w:jc w:val="both"/>
        <w:rPr>
          <w:rFonts w:ascii="Cambria" w:hAnsi="Cambria"/>
          <w:bCs/>
          <w:lang w:val="en-US"/>
        </w:rPr>
      </w:pPr>
    </w:p>
    <w:p w14:paraId="3F03F330" w14:textId="020ADD22" w:rsidR="00A17C51" w:rsidRPr="00D91C11" w:rsidRDefault="00A17C51" w:rsidP="001F00A9">
      <w:pPr>
        <w:ind w:left="709"/>
        <w:jc w:val="both"/>
        <w:rPr>
          <w:rFonts w:ascii="Cambria" w:hAnsi="Cambria"/>
          <w:bCs/>
          <w:lang w:val="en-US"/>
        </w:rPr>
      </w:pPr>
      <w:r w:rsidRPr="00D91C11">
        <w:rPr>
          <w:rFonts w:ascii="Cambria" w:hAnsi="Cambria"/>
          <w:bCs/>
          <w:lang w:val="en-US"/>
        </w:rPr>
        <w:t>Therefore, from January 1, 2023, goods and services that were previously eligible for VAT reduction policy will return to the original tax rate of 10%.</w:t>
      </w:r>
    </w:p>
    <w:p w14:paraId="357423C5" w14:textId="77777777" w:rsidR="00A40283" w:rsidRPr="00D91C11" w:rsidRDefault="00A40283" w:rsidP="001F00A9">
      <w:pPr>
        <w:pStyle w:val="ListParagraph"/>
        <w:widowControl/>
        <w:autoSpaceDE/>
        <w:autoSpaceDN/>
        <w:ind w:left="709" w:firstLine="0"/>
        <w:contextualSpacing/>
        <w:jc w:val="both"/>
        <w:rPr>
          <w:rFonts w:ascii="Cambria" w:hAnsi="Cambria"/>
          <w:lang w:val="en-US"/>
        </w:rPr>
      </w:pPr>
    </w:p>
    <w:p w14:paraId="2CDC3232" w14:textId="6B56B331" w:rsidR="00964E19" w:rsidRPr="00D91C11" w:rsidRDefault="00916EC2" w:rsidP="001F00A9">
      <w:pPr>
        <w:pStyle w:val="ListParagraph"/>
        <w:widowControl/>
        <w:numPr>
          <w:ilvl w:val="1"/>
          <w:numId w:val="3"/>
        </w:numPr>
        <w:autoSpaceDE/>
        <w:autoSpaceDN/>
        <w:ind w:left="709" w:hanging="709"/>
        <w:contextualSpacing/>
        <w:jc w:val="both"/>
        <w:rPr>
          <w:rFonts w:ascii="Cambria" w:hAnsi="Cambria"/>
          <w:b/>
          <w:bCs/>
          <w:lang w:val="en-US"/>
        </w:rPr>
      </w:pPr>
      <w:r w:rsidRPr="00D91C11">
        <w:rPr>
          <w:rFonts w:ascii="Cambria" w:hAnsi="Cambria"/>
          <w:b/>
          <w:bCs/>
          <w:lang w:val="en-US"/>
        </w:rPr>
        <w:t>Facilitating foreign investors related to insurance business in Vietnam</w:t>
      </w:r>
    </w:p>
    <w:p w14:paraId="40797964" w14:textId="72A8D05D" w:rsidR="00905DF4" w:rsidRPr="00D91C11" w:rsidRDefault="00905DF4" w:rsidP="001F00A9">
      <w:pPr>
        <w:pStyle w:val="ListParagraph"/>
        <w:widowControl/>
        <w:autoSpaceDE/>
        <w:autoSpaceDN/>
        <w:ind w:left="709" w:firstLine="0"/>
        <w:contextualSpacing/>
        <w:jc w:val="both"/>
        <w:rPr>
          <w:rFonts w:ascii="Cambria" w:hAnsi="Cambria"/>
          <w:b/>
          <w:bCs/>
          <w:lang w:val="en-US"/>
        </w:rPr>
      </w:pPr>
    </w:p>
    <w:p w14:paraId="47AADF0B" w14:textId="10113DC5" w:rsidR="00A06DCA" w:rsidRPr="00D91C11" w:rsidRDefault="00A17C51" w:rsidP="001F00A9">
      <w:pPr>
        <w:ind w:left="720"/>
        <w:jc w:val="both"/>
        <w:rPr>
          <w:rFonts w:ascii="Cambria" w:hAnsi="Cambria"/>
          <w:bCs/>
          <w:lang w:val="en-US"/>
        </w:rPr>
      </w:pPr>
      <w:r w:rsidRPr="00D91C11">
        <w:rPr>
          <w:rFonts w:ascii="Cambria" w:hAnsi="Cambria"/>
          <w:bCs/>
          <w:lang w:val="en-US"/>
        </w:rPr>
        <w:t>On June 16, 2022, the National Assembly passed the Law on Insurance Business No. 08/2022/QH15 (hereinafter referred to as “</w:t>
      </w:r>
      <w:r w:rsidRPr="00D91C11">
        <w:rPr>
          <w:rFonts w:ascii="Cambria" w:hAnsi="Cambria"/>
          <w:b/>
          <w:lang w:val="en-US"/>
        </w:rPr>
        <w:t>Law on Insurance Business 2022</w:t>
      </w:r>
      <w:r w:rsidRPr="00D91C11">
        <w:rPr>
          <w:rFonts w:ascii="Cambria" w:hAnsi="Cambria"/>
          <w:bCs/>
          <w:lang w:val="en-US"/>
        </w:rPr>
        <w:t xml:space="preserve">”). </w:t>
      </w:r>
      <w:r w:rsidR="00A06DCA" w:rsidRPr="00D91C11">
        <w:rPr>
          <w:rFonts w:ascii="Cambria" w:hAnsi="Cambria"/>
          <w:bCs/>
          <w:lang w:val="en-US"/>
        </w:rPr>
        <w:t>This is considered an important legal instrument with the expectation that it will create a new development for the insurance market in the future.</w:t>
      </w:r>
    </w:p>
    <w:p w14:paraId="65D75DBA" w14:textId="77777777" w:rsidR="00A06DCA" w:rsidRPr="00D91C11" w:rsidRDefault="00A06DCA" w:rsidP="001F00A9">
      <w:pPr>
        <w:ind w:left="720"/>
        <w:jc w:val="both"/>
        <w:rPr>
          <w:rFonts w:ascii="Cambria" w:hAnsi="Cambria"/>
          <w:bCs/>
          <w:lang w:val="en-US"/>
        </w:rPr>
      </w:pPr>
    </w:p>
    <w:p w14:paraId="4C6A3A45" w14:textId="013B9532" w:rsidR="00A17C51" w:rsidRPr="00D91C11" w:rsidRDefault="00FF47D5" w:rsidP="001F00A9">
      <w:pPr>
        <w:ind w:left="720"/>
        <w:jc w:val="both"/>
        <w:rPr>
          <w:rFonts w:ascii="Cambria" w:hAnsi="Cambria"/>
          <w:bCs/>
          <w:lang w:val="en-US"/>
        </w:rPr>
      </w:pPr>
      <w:r w:rsidRPr="00D91C11">
        <w:rPr>
          <w:rFonts w:ascii="Cambria" w:hAnsi="Cambria"/>
          <w:bCs/>
          <w:lang w:val="en-US"/>
        </w:rPr>
        <w:t>In addition to ensuring the implementation of Vietnam's commitments in the WTO and signed trade agreements, Law on Insurance Business 2022 has created favorable conditions for foreign investors in the field of insurance business, including:</w:t>
      </w:r>
    </w:p>
    <w:p w14:paraId="17BA38EA" w14:textId="5E261F1B" w:rsidR="00A17C51" w:rsidRPr="00D91C11" w:rsidRDefault="00A17C51" w:rsidP="001F00A9">
      <w:pPr>
        <w:ind w:left="720"/>
        <w:jc w:val="both"/>
        <w:rPr>
          <w:rFonts w:ascii="Cambria" w:hAnsi="Cambria"/>
          <w:bCs/>
          <w:lang w:val="en-US"/>
        </w:rPr>
      </w:pPr>
    </w:p>
    <w:p w14:paraId="77842E30" w14:textId="519692ED" w:rsidR="00A17C51" w:rsidRPr="00D91C11" w:rsidRDefault="00FF47D5" w:rsidP="001F00A9">
      <w:pPr>
        <w:pStyle w:val="ListParagraph"/>
        <w:numPr>
          <w:ilvl w:val="0"/>
          <w:numId w:val="22"/>
        </w:numPr>
        <w:jc w:val="both"/>
        <w:rPr>
          <w:rFonts w:ascii="Cambria" w:hAnsi="Cambria"/>
          <w:bCs/>
          <w:lang w:val="en-US"/>
        </w:rPr>
      </w:pPr>
      <w:r w:rsidRPr="00D91C11">
        <w:rPr>
          <w:rFonts w:ascii="Cambria" w:hAnsi="Cambria"/>
          <w:bCs/>
          <w:lang w:val="en-US"/>
        </w:rPr>
        <w:t>To specifically and clearly stipulate the establishment and operation of branches of foreign reinsurance enterprises in Vietnam</w:t>
      </w:r>
      <w:r w:rsidR="005B76BD" w:rsidRPr="00D91C11">
        <w:rPr>
          <w:rFonts w:ascii="Cambria" w:hAnsi="Cambria"/>
          <w:bCs/>
          <w:lang w:val="en-US"/>
        </w:rPr>
        <w:t xml:space="preserve">: Pursuant to EU-Vietnam Free Trade Agreement  (EVFTA) which was signed on June 30, 2019 and took effect from August 01, </w:t>
      </w:r>
      <w:r w:rsidR="005B76BD" w:rsidRPr="00D91C11">
        <w:rPr>
          <w:rFonts w:ascii="Cambria" w:hAnsi="Cambria"/>
          <w:bCs/>
          <w:lang w:val="en-US"/>
        </w:rPr>
        <w:lastRenderedPageBreak/>
        <w:t xml:space="preserve">2020, Vietnam has committed to allow reinsurance enterprises of EU to set up </w:t>
      </w:r>
      <w:r w:rsidR="0076702D" w:rsidRPr="00D91C11">
        <w:rPr>
          <w:rFonts w:ascii="Cambria" w:hAnsi="Cambria"/>
          <w:bCs/>
          <w:lang w:val="en-US"/>
        </w:rPr>
        <w:t>branches of foreign reinsurance enterprises</w:t>
      </w:r>
      <w:r w:rsidR="005B76BD" w:rsidRPr="00D91C11">
        <w:rPr>
          <w:rFonts w:ascii="Cambria" w:hAnsi="Cambria"/>
          <w:bCs/>
          <w:lang w:val="en-US"/>
        </w:rPr>
        <w:t xml:space="preserve"> in Vietnam </w:t>
      </w:r>
      <w:r w:rsidR="0076702D" w:rsidRPr="00D91C11">
        <w:rPr>
          <w:rFonts w:ascii="Cambria" w:hAnsi="Cambria"/>
          <w:bCs/>
          <w:lang w:val="en-US"/>
        </w:rPr>
        <w:t>after 3 years from the effective date of this Agreement</w:t>
      </w:r>
      <w:r w:rsidR="005B76BD" w:rsidRPr="00D91C11">
        <w:rPr>
          <w:rFonts w:ascii="Cambria" w:hAnsi="Cambria"/>
          <w:bCs/>
          <w:lang w:val="en-US"/>
        </w:rPr>
        <w:t xml:space="preserve">. </w:t>
      </w:r>
      <w:r w:rsidR="0076702D" w:rsidRPr="00D91C11">
        <w:rPr>
          <w:rFonts w:ascii="Cambria" w:hAnsi="Cambria"/>
          <w:bCs/>
          <w:lang w:val="en-US"/>
        </w:rPr>
        <w:t>Therefore, in order to concretize the above commitment, Law on Insurance Business 2022 has been supplemented with provisions on the establishment of branches of foreign reinsurance enterprises in Vietnam in Chapter 3 of this Law.</w:t>
      </w:r>
    </w:p>
    <w:p w14:paraId="00291C66" w14:textId="77777777" w:rsidR="0076702D" w:rsidRPr="00D91C11" w:rsidRDefault="0076702D" w:rsidP="001F00A9">
      <w:pPr>
        <w:pStyle w:val="ListParagraph"/>
        <w:ind w:left="1440" w:firstLine="0"/>
        <w:jc w:val="both"/>
        <w:rPr>
          <w:rFonts w:ascii="Cambria" w:hAnsi="Cambria"/>
          <w:bCs/>
          <w:lang w:val="en-US"/>
        </w:rPr>
      </w:pPr>
    </w:p>
    <w:p w14:paraId="4AC5C433" w14:textId="06718E8B" w:rsidR="0076702D" w:rsidRPr="00D91C11" w:rsidRDefault="00FF47D5" w:rsidP="001F00A9">
      <w:pPr>
        <w:pStyle w:val="ListParagraph"/>
        <w:numPr>
          <w:ilvl w:val="0"/>
          <w:numId w:val="22"/>
        </w:numPr>
        <w:jc w:val="both"/>
        <w:rPr>
          <w:rFonts w:ascii="Cambria" w:hAnsi="Cambria"/>
          <w:bCs/>
          <w:lang w:val="en-US"/>
        </w:rPr>
      </w:pPr>
      <w:r w:rsidRPr="00D91C11">
        <w:rPr>
          <w:rFonts w:ascii="Cambria" w:hAnsi="Cambria"/>
          <w:bCs/>
          <w:lang w:val="en-US"/>
        </w:rPr>
        <w:t>To allow f</w:t>
      </w:r>
      <w:r w:rsidR="0076702D" w:rsidRPr="00D91C11">
        <w:rPr>
          <w:rFonts w:ascii="Cambria" w:hAnsi="Cambria"/>
          <w:bCs/>
          <w:lang w:val="en-US"/>
        </w:rPr>
        <w:t xml:space="preserve">oreign investors are entitled to own shares and contributed capital up to 100% of charter capital of </w:t>
      </w:r>
      <w:r w:rsidR="0086402C" w:rsidRPr="00D91C11">
        <w:rPr>
          <w:rFonts w:ascii="Cambria" w:hAnsi="Cambria"/>
          <w:bCs/>
          <w:lang w:val="en-US"/>
        </w:rPr>
        <w:t xml:space="preserve">an </w:t>
      </w:r>
      <w:r w:rsidR="0076702D" w:rsidRPr="00D91C11">
        <w:rPr>
          <w:rFonts w:ascii="Cambria" w:hAnsi="Cambria"/>
          <w:bCs/>
          <w:lang w:val="en-US"/>
        </w:rPr>
        <w:t xml:space="preserve">insurance enterprise </w:t>
      </w:r>
      <w:r w:rsidR="0086402C" w:rsidRPr="00D91C11">
        <w:rPr>
          <w:rFonts w:ascii="Cambria" w:hAnsi="Cambria"/>
          <w:bCs/>
          <w:lang w:val="en-US"/>
        </w:rPr>
        <w:t>or</w:t>
      </w:r>
      <w:r w:rsidR="0076702D" w:rsidRPr="00D91C11">
        <w:rPr>
          <w:rFonts w:ascii="Cambria" w:hAnsi="Cambria"/>
          <w:bCs/>
          <w:lang w:val="en-US"/>
        </w:rPr>
        <w:t xml:space="preserve"> reinsurance enterprise: Based on Vietnam</w:t>
      </w:r>
      <w:r w:rsidR="00D93ED8" w:rsidRPr="00D91C11">
        <w:rPr>
          <w:rFonts w:ascii="Cambria" w:hAnsi="Cambria"/>
          <w:bCs/>
          <w:lang w:val="en-US"/>
        </w:rPr>
        <w:t>’</w:t>
      </w:r>
      <w:r w:rsidR="0076702D" w:rsidRPr="00D91C11">
        <w:rPr>
          <w:rFonts w:ascii="Cambria" w:hAnsi="Cambria"/>
          <w:bCs/>
          <w:lang w:val="en-US"/>
        </w:rPr>
        <w:t>s commitments in the WTO and other trade agreements regarding the field of insurance services, Vietnam has not stipulated any restrictions related to the ratio of capital ownership of foreign investors in insurance enterprises. Hence,</w:t>
      </w:r>
      <w:r w:rsidR="0086402C" w:rsidRPr="00D91C11">
        <w:rPr>
          <w:rFonts w:ascii="Cambria" w:hAnsi="Cambria"/>
          <w:bCs/>
          <w:lang w:val="en-US"/>
        </w:rPr>
        <w:t xml:space="preserve"> to ensure the clarity of such regulation,</w:t>
      </w:r>
      <w:r w:rsidR="0076702D" w:rsidRPr="00D91C11">
        <w:rPr>
          <w:rFonts w:ascii="Cambria" w:hAnsi="Cambria"/>
          <w:bCs/>
          <w:lang w:val="en-US"/>
        </w:rPr>
        <w:t xml:space="preserve"> Law on Insurance Business 2022 </w:t>
      </w:r>
      <w:r w:rsidR="00E405BB" w:rsidRPr="00D91C11">
        <w:rPr>
          <w:rFonts w:ascii="Cambria" w:hAnsi="Cambria"/>
          <w:bCs/>
          <w:lang w:val="en-US"/>
        </w:rPr>
        <w:t>provides</w:t>
      </w:r>
      <w:r w:rsidR="0076702D" w:rsidRPr="00D91C11">
        <w:rPr>
          <w:rFonts w:ascii="Cambria" w:hAnsi="Cambria"/>
          <w:bCs/>
          <w:lang w:val="en-US"/>
        </w:rPr>
        <w:t xml:space="preserve"> that foreign investors are allowed to own shares and </w:t>
      </w:r>
      <w:r w:rsidR="0086402C" w:rsidRPr="00D91C11">
        <w:rPr>
          <w:rFonts w:ascii="Cambria" w:hAnsi="Cambria"/>
          <w:bCs/>
          <w:lang w:val="en-US"/>
        </w:rPr>
        <w:t>contributed capital</w:t>
      </w:r>
      <w:r w:rsidR="0076702D" w:rsidRPr="00D91C11">
        <w:rPr>
          <w:rFonts w:ascii="Cambria" w:hAnsi="Cambria"/>
          <w:bCs/>
          <w:lang w:val="en-US"/>
        </w:rPr>
        <w:t xml:space="preserve"> up to 100% of the charter capital of an insurance enterprise </w:t>
      </w:r>
      <w:r w:rsidR="0086402C" w:rsidRPr="00D91C11">
        <w:rPr>
          <w:rFonts w:ascii="Cambria" w:hAnsi="Cambria"/>
          <w:bCs/>
          <w:lang w:val="en-US"/>
        </w:rPr>
        <w:t>or</w:t>
      </w:r>
      <w:r w:rsidR="0076702D" w:rsidRPr="00D91C11">
        <w:rPr>
          <w:rFonts w:ascii="Cambria" w:hAnsi="Cambria"/>
          <w:bCs/>
          <w:lang w:val="en-US"/>
        </w:rPr>
        <w:t xml:space="preserve"> reinsurance enterprise </w:t>
      </w:r>
      <w:r w:rsidR="0086402C" w:rsidRPr="00D91C11">
        <w:rPr>
          <w:rFonts w:ascii="Cambria" w:hAnsi="Cambria"/>
          <w:bCs/>
          <w:lang w:val="en-US"/>
        </w:rPr>
        <w:t>in accordance with</w:t>
      </w:r>
      <w:r w:rsidR="0076702D" w:rsidRPr="00D91C11">
        <w:rPr>
          <w:rFonts w:ascii="Cambria" w:hAnsi="Cambria"/>
          <w:bCs/>
          <w:lang w:val="en-US"/>
        </w:rPr>
        <w:t xml:space="preserve"> Article 68 of this Law</w:t>
      </w:r>
      <w:r w:rsidR="0086402C" w:rsidRPr="00D91C11">
        <w:rPr>
          <w:rFonts w:ascii="Cambria" w:hAnsi="Cambria"/>
          <w:bCs/>
          <w:lang w:val="en-US"/>
        </w:rPr>
        <w:t>.</w:t>
      </w:r>
    </w:p>
    <w:p w14:paraId="3132EC15" w14:textId="77777777" w:rsidR="00905DF4" w:rsidRPr="00D91C11" w:rsidRDefault="00905DF4" w:rsidP="001F00A9">
      <w:pPr>
        <w:jc w:val="both"/>
        <w:rPr>
          <w:rFonts w:ascii="Cambria" w:hAnsi="Cambria"/>
          <w:bCs/>
          <w:lang w:val="en-US"/>
        </w:rPr>
      </w:pPr>
    </w:p>
    <w:p w14:paraId="0997C092" w14:textId="3B44120E" w:rsidR="00905DF4" w:rsidRPr="00D91C11" w:rsidRDefault="0086402C" w:rsidP="001F00A9">
      <w:pPr>
        <w:pStyle w:val="Heading1"/>
        <w:tabs>
          <w:tab w:val="left" w:pos="836"/>
          <w:tab w:val="left" w:pos="837"/>
        </w:tabs>
        <w:ind w:left="709" w:firstLine="0"/>
        <w:rPr>
          <w:rFonts w:ascii="Cambria" w:hAnsi="Cambria"/>
          <w:lang w:val="en-US"/>
        </w:rPr>
      </w:pPr>
      <w:r w:rsidRPr="00D91C11">
        <w:rPr>
          <w:rFonts w:ascii="Cambria" w:hAnsi="Cambria"/>
          <w:bCs w:val="0"/>
          <w:lang w:val="en-US"/>
        </w:rPr>
        <w:t>Law on Insurance Business 2022</w:t>
      </w:r>
      <w:r w:rsidR="00905DF4" w:rsidRPr="00D91C11">
        <w:rPr>
          <w:rFonts w:ascii="Cambria" w:hAnsi="Cambria"/>
          <w:lang w:val="en-US"/>
        </w:rPr>
        <w:t xml:space="preserve"> takes effect from </w:t>
      </w:r>
      <w:r w:rsidRPr="00D91C11">
        <w:rPr>
          <w:rFonts w:ascii="Cambria" w:hAnsi="Cambria"/>
          <w:lang w:val="en-US"/>
        </w:rPr>
        <w:t>January</w:t>
      </w:r>
      <w:r w:rsidR="00905DF4" w:rsidRPr="00D91C11">
        <w:rPr>
          <w:rFonts w:ascii="Cambria" w:hAnsi="Cambria"/>
          <w:lang w:val="en-US"/>
        </w:rPr>
        <w:t xml:space="preserve"> </w:t>
      </w:r>
      <w:r w:rsidRPr="00D91C11">
        <w:rPr>
          <w:rFonts w:ascii="Cambria" w:hAnsi="Cambria"/>
          <w:lang w:val="en-US"/>
        </w:rPr>
        <w:t>01</w:t>
      </w:r>
      <w:r w:rsidR="00905DF4" w:rsidRPr="00D91C11">
        <w:rPr>
          <w:rFonts w:ascii="Cambria" w:hAnsi="Cambria"/>
          <w:lang w:val="en-US"/>
        </w:rPr>
        <w:t>, 202</w:t>
      </w:r>
      <w:r w:rsidRPr="00D91C11">
        <w:rPr>
          <w:rFonts w:ascii="Cambria" w:hAnsi="Cambria"/>
          <w:lang w:val="en-US"/>
        </w:rPr>
        <w:t>3</w:t>
      </w:r>
      <w:r w:rsidR="00905DF4" w:rsidRPr="00D91C11">
        <w:rPr>
          <w:rFonts w:ascii="Cambria" w:hAnsi="Cambria"/>
          <w:lang w:val="en-US"/>
        </w:rPr>
        <w:t>.</w:t>
      </w:r>
    </w:p>
    <w:p w14:paraId="514E6B15" w14:textId="77777777" w:rsidR="00905DF4" w:rsidRPr="00D91C11" w:rsidRDefault="00905DF4" w:rsidP="001F00A9">
      <w:pPr>
        <w:widowControl/>
        <w:autoSpaceDE/>
        <w:autoSpaceDN/>
        <w:contextualSpacing/>
        <w:jc w:val="both"/>
        <w:rPr>
          <w:rFonts w:ascii="Cambria" w:hAnsi="Cambria"/>
          <w:b/>
          <w:bCs/>
          <w:lang w:val="en-US"/>
        </w:rPr>
      </w:pPr>
    </w:p>
    <w:p w14:paraId="5EF8D0B9" w14:textId="3802833B" w:rsidR="0086402C" w:rsidRPr="00D91C11" w:rsidRDefault="00EC4448" w:rsidP="001F00A9">
      <w:pPr>
        <w:pStyle w:val="ListParagraph"/>
        <w:widowControl/>
        <w:numPr>
          <w:ilvl w:val="1"/>
          <w:numId w:val="3"/>
        </w:numPr>
        <w:autoSpaceDE/>
        <w:autoSpaceDN/>
        <w:ind w:left="709" w:hanging="709"/>
        <w:contextualSpacing/>
        <w:jc w:val="both"/>
        <w:rPr>
          <w:rFonts w:ascii="Cambria" w:hAnsi="Cambria"/>
          <w:b/>
          <w:bCs/>
          <w:lang w:val="en-US"/>
        </w:rPr>
      </w:pPr>
      <w:r w:rsidRPr="00D91C11">
        <w:rPr>
          <w:rFonts w:ascii="Cambria" w:hAnsi="Cambria"/>
          <w:b/>
          <w:bCs/>
          <w:lang w:val="en-US"/>
        </w:rPr>
        <w:t xml:space="preserve">Cases </w:t>
      </w:r>
      <w:r w:rsidR="004C3DEF" w:rsidRPr="00D91C11">
        <w:rPr>
          <w:rFonts w:ascii="Cambria" w:hAnsi="Cambria"/>
          <w:b/>
          <w:bCs/>
          <w:lang w:val="en-US"/>
        </w:rPr>
        <w:t>where individuals and organizations</w:t>
      </w:r>
      <w:r w:rsidRPr="00D91C11">
        <w:rPr>
          <w:rFonts w:ascii="Cambria" w:hAnsi="Cambria"/>
          <w:b/>
          <w:bCs/>
          <w:lang w:val="en-US"/>
        </w:rPr>
        <w:t xml:space="preserve"> are entitled to register asset-based security</w:t>
      </w:r>
    </w:p>
    <w:p w14:paraId="75A39916" w14:textId="2034E3F8" w:rsidR="00EC4448" w:rsidRPr="00D91C11" w:rsidRDefault="00EC4448" w:rsidP="001F00A9">
      <w:pPr>
        <w:pStyle w:val="ListParagraph"/>
        <w:widowControl/>
        <w:autoSpaceDE/>
        <w:autoSpaceDN/>
        <w:ind w:left="709" w:firstLine="0"/>
        <w:contextualSpacing/>
        <w:jc w:val="both"/>
        <w:rPr>
          <w:rFonts w:ascii="Cambria" w:hAnsi="Cambria"/>
          <w:b/>
          <w:bCs/>
          <w:lang w:val="en-US"/>
        </w:rPr>
      </w:pPr>
    </w:p>
    <w:p w14:paraId="281A680D" w14:textId="4F6E33CE" w:rsidR="00EC4448" w:rsidRPr="00D91C11" w:rsidRDefault="00EC4448" w:rsidP="001F00A9">
      <w:pPr>
        <w:pStyle w:val="ListParagraph"/>
        <w:widowControl/>
        <w:autoSpaceDE/>
        <w:autoSpaceDN/>
        <w:ind w:left="709" w:firstLine="0"/>
        <w:contextualSpacing/>
        <w:jc w:val="both"/>
        <w:rPr>
          <w:rFonts w:ascii="Cambria" w:hAnsi="Cambria"/>
          <w:lang w:val="en-US"/>
        </w:rPr>
      </w:pPr>
      <w:r w:rsidRPr="00D91C11">
        <w:rPr>
          <w:rFonts w:ascii="Cambria" w:hAnsi="Cambria"/>
          <w:lang w:val="en-US"/>
        </w:rPr>
        <w:t xml:space="preserve">On November 30, 2022, the Government issued Decree No. 99/2022/ND-CP on </w:t>
      </w:r>
      <w:r w:rsidR="004C3DEF" w:rsidRPr="00D91C11">
        <w:rPr>
          <w:rFonts w:ascii="Cambria" w:hAnsi="Cambria"/>
          <w:lang w:val="en-US"/>
        </w:rPr>
        <w:t>security registration</w:t>
      </w:r>
      <w:r w:rsidRPr="00D91C11">
        <w:rPr>
          <w:rFonts w:ascii="Cambria" w:hAnsi="Cambria"/>
          <w:lang w:val="en-US"/>
        </w:rPr>
        <w:t xml:space="preserve"> (hereinafter referred to as “</w:t>
      </w:r>
      <w:r w:rsidRPr="00D91C11">
        <w:rPr>
          <w:rFonts w:ascii="Cambria" w:hAnsi="Cambria"/>
          <w:b/>
          <w:bCs/>
          <w:lang w:val="en-US"/>
        </w:rPr>
        <w:t>Decree 99/2022/ND-CP</w:t>
      </w:r>
      <w:r w:rsidRPr="00D91C11">
        <w:rPr>
          <w:rFonts w:ascii="Cambria" w:hAnsi="Cambria"/>
          <w:lang w:val="en-US"/>
        </w:rPr>
        <w:t>”).</w:t>
      </w:r>
    </w:p>
    <w:p w14:paraId="51C63EC6" w14:textId="3D632312" w:rsidR="004C3DEF" w:rsidRPr="00D91C11" w:rsidRDefault="004C3DEF" w:rsidP="001F00A9">
      <w:pPr>
        <w:pStyle w:val="ListParagraph"/>
        <w:widowControl/>
        <w:autoSpaceDE/>
        <w:autoSpaceDN/>
        <w:ind w:left="709" w:firstLine="0"/>
        <w:contextualSpacing/>
        <w:jc w:val="both"/>
        <w:rPr>
          <w:rFonts w:ascii="Cambria" w:hAnsi="Cambria"/>
          <w:lang w:val="en-US"/>
        </w:rPr>
      </w:pPr>
    </w:p>
    <w:p w14:paraId="1F454E05" w14:textId="6CE10C69" w:rsidR="004C3DEF" w:rsidRPr="00D91C11" w:rsidRDefault="004C3DEF" w:rsidP="001F00A9">
      <w:pPr>
        <w:pStyle w:val="ListParagraph"/>
        <w:widowControl/>
        <w:autoSpaceDE/>
        <w:autoSpaceDN/>
        <w:ind w:left="709" w:firstLine="0"/>
        <w:contextualSpacing/>
        <w:jc w:val="both"/>
        <w:rPr>
          <w:rFonts w:ascii="Cambria" w:hAnsi="Cambria"/>
          <w:lang w:val="en-US"/>
        </w:rPr>
      </w:pPr>
      <w:r w:rsidRPr="00D91C11">
        <w:rPr>
          <w:rFonts w:ascii="Cambria" w:hAnsi="Cambria"/>
          <w:lang w:val="en-US"/>
        </w:rPr>
        <w:t>Accordingly, Decree 99/2022/ND-CP has provided 04 (four) cases where individuals and organizations are entitled to register asset-based security, including:</w:t>
      </w:r>
    </w:p>
    <w:p w14:paraId="10A61714" w14:textId="4ED0025A" w:rsidR="004C3DEF" w:rsidRPr="00D91C11" w:rsidRDefault="004C3DEF" w:rsidP="001F00A9">
      <w:pPr>
        <w:pStyle w:val="ListParagraph"/>
        <w:widowControl/>
        <w:autoSpaceDE/>
        <w:autoSpaceDN/>
        <w:ind w:left="709" w:firstLine="0"/>
        <w:contextualSpacing/>
        <w:jc w:val="both"/>
        <w:rPr>
          <w:rFonts w:ascii="Cambria" w:hAnsi="Cambria"/>
          <w:lang w:val="en-US"/>
        </w:rPr>
      </w:pPr>
    </w:p>
    <w:p w14:paraId="1CF7175B" w14:textId="4D1593D8" w:rsidR="004C3DEF" w:rsidRPr="00D91C11" w:rsidRDefault="004C3DEF" w:rsidP="001F00A9">
      <w:pPr>
        <w:pStyle w:val="ListParagraph"/>
        <w:widowControl/>
        <w:numPr>
          <w:ilvl w:val="0"/>
          <w:numId w:val="23"/>
        </w:numPr>
        <w:autoSpaceDE/>
        <w:autoSpaceDN/>
        <w:contextualSpacing/>
        <w:jc w:val="both"/>
        <w:rPr>
          <w:rFonts w:ascii="Cambria" w:hAnsi="Cambria"/>
          <w:lang w:val="en-US"/>
        </w:rPr>
      </w:pPr>
      <w:r w:rsidRPr="00D91C11">
        <w:rPr>
          <w:rFonts w:ascii="Cambria" w:hAnsi="Cambria"/>
          <w:lang w:val="en-US"/>
        </w:rPr>
        <w:t>Firstly, the registration of mortgage of property, pledge of property and reserve of ownership rights in accordance with Civil Code and other relevant laws;</w:t>
      </w:r>
    </w:p>
    <w:p w14:paraId="62D7B745" w14:textId="77777777" w:rsidR="004C3DEF" w:rsidRPr="00D91C11" w:rsidRDefault="004C3DEF" w:rsidP="001F00A9">
      <w:pPr>
        <w:pStyle w:val="ListParagraph"/>
        <w:widowControl/>
        <w:autoSpaceDE/>
        <w:autoSpaceDN/>
        <w:ind w:left="1429" w:firstLine="0"/>
        <w:contextualSpacing/>
        <w:jc w:val="both"/>
        <w:rPr>
          <w:rFonts w:ascii="Cambria" w:hAnsi="Cambria"/>
          <w:lang w:val="en-US"/>
        </w:rPr>
      </w:pPr>
    </w:p>
    <w:p w14:paraId="2FB5F4C2" w14:textId="21BBA3D2" w:rsidR="004C3DEF" w:rsidRPr="00D91C11" w:rsidRDefault="004C3DEF" w:rsidP="001F00A9">
      <w:pPr>
        <w:pStyle w:val="ListParagraph"/>
        <w:widowControl/>
        <w:numPr>
          <w:ilvl w:val="0"/>
          <w:numId w:val="23"/>
        </w:numPr>
        <w:autoSpaceDE/>
        <w:autoSpaceDN/>
        <w:contextualSpacing/>
        <w:jc w:val="both"/>
        <w:rPr>
          <w:rFonts w:ascii="Cambria" w:hAnsi="Cambria"/>
          <w:lang w:val="en-US"/>
        </w:rPr>
      </w:pPr>
      <w:r w:rsidRPr="00D91C11">
        <w:rPr>
          <w:rFonts w:ascii="Cambria" w:hAnsi="Cambria"/>
          <w:lang w:val="en-US"/>
        </w:rPr>
        <w:t>Secondly, the registration under an agreement between the securing party and the secured party or at the request of the secured party, except for retention of property</w:t>
      </w:r>
      <w:r w:rsidR="006264FD" w:rsidRPr="00D91C11">
        <w:rPr>
          <w:rFonts w:ascii="Cambria" w:hAnsi="Cambria"/>
          <w:lang w:val="en-US"/>
        </w:rPr>
        <w:t>;</w:t>
      </w:r>
    </w:p>
    <w:p w14:paraId="290B2D55" w14:textId="77777777" w:rsidR="006264FD" w:rsidRPr="00D91C11" w:rsidRDefault="006264FD" w:rsidP="001F00A9">
      <w:pPr>
        <w:pStyle w:val="ListParagraph"/>
        <w:rPr>
          <w:rFonts w:ascii="Cambria" w:hAnsi="Cambria"/>
          <w:lang w:val="en-US"/>
        </w:rPr>
      </w:pPr>
    </w:p>
    <w:p w14:paraId="36886158" w14:textId="50589F1E" w:rsidR="006264FD" w:rsidRPr="00D91C11" w:rsidRDefault="006264FD" w:rsidP="001F00A9">
      <w:pPr>
        <w:pStyle w:val="ListParagraph"/>
        <w:widowControl/>
        <w:numPr>
          <w:ilvl w:val="0"/>
          <w:numId w:val="23"/>
        </w:numPr>
        <w:autoSpaceDE/>
        <w:autoSpaceDN/>
        <w:contextualSpacing/>
        <w:jc w:val="both"/>
        <w:rPr>
          <w:rFonts w:ascii="Cambria" w:hAnsi="Cambria"/>
          <w:lang w:val="en-US"/>
        </w:rPr>
      </w:pPr>
      <w:r w:rsidRPr="00D91C11">
        <w:rPr>
          <w:rFonts w:ascii="Cambria" w:hAnsi="Cambria"/>
          <w:lang w:val="en-US"/>
        </w:rPr>
        <w:t>Thirdly, the registration of notice of disposal of security property in case an asset is used to secure the performance of many obligations in which more than one party is jointly secured or in the case of an agreement between the securing party and the secured party;</w:t>
      </w:r>
    </w:p>
    <w:p w14:paraId="25A6888B" w14:textId="77777777" w:rsidR="006264FD" w:rsidRPr="00D91C11" w:rsidRDefault="006264FD" w:rsidP="001F00A9">
      <w:pPr>
        <w:pStyle w:val="ListParagraph"/>
        <w:rPr>
          <w:rFonts w:ascii="Cambria" w:hAnsi="Cambria"/>
          <w:lang w:val="en-US"/>
        </w:rPr>
      </w:pPr>
    </w:p>
    <w:p w14:paraId="72DD0F72" w14:textId="14D6BE7C" w:rsidR="006264FD" w:rsidRPr="00D91C11" w:rsidRDefault="006264FD" w:rsidP="001F00A9">
      <w:pPr>
        <w:pStyle w:val="ListParagraph"/>
        <w:widowControl/>
        <w:numPr>
          <w:ilvl w:val="0"/>
          <w:numId w:val="23"/>
        </w:numPr>
        <w:autoSpaceDE/>
        <w:autoSpaceDN/>
        <w:contextualSpacing/>
        <w:jc w:val="both"/>
        <w:rPr>
          <w:rFonts w:ascii="Cambria" w:hAnsi="Cambria"/>
          <w:lang w:val="en-US"/>
        </w:rPr>
      </w:pPr>
      <w:r w:rsidRPr="00D91C11">
        <w:rPr>
          <w:rFonts w:ascii="Cambria" w:hAnsi="Cambria"/>
          <w:lang w:val="en-US"/>
        </w:rPr>
        <w:t>Fourth, the registration of changes to the registered content (registration of changes); deregistration of registered content (deregistration) for the case specified in sections (i), (ii) and (iii) above.</w:t>
      </w:r>
    </w:p>
    <w:p w14:paraId="35624914" w14:textId="7BC2381D" w:rsidR="00EC4448" w:rsidRPr="00D91C11" w:rsidRDefault="00EC4448" w:rsidP="001F00A9">
      <w:pPr>
        <w:pStyle w:val="ListParagraph"/>
        <w:widowControl/>
        <w:autoSpaceDE/>
        <w:autoSpaceDN/>
        <w:ind w:left="709" w:firstLine="0"/>
        <w:contextualSpacing/>
        <w:jc w:val="both"/>
        <w:rPr>
          <w:rFonts w:ascii="Cambria" w:hAnsi="Cambria"/>
          <w:b/>
          <w:bCs/>
          <w:lang w:val="en-US"/>
        </w:rPr>
      </w:pPr>
    </w:p>
    <w:p w14:paraId="64EF9BAE" w14:textId="03BC8CF9" w:rsidR="006264FD" w:rsidRPr="00D91C11" w:rsidRDefault="006264FD" w:rsidP="001F00A9">
      <w:pPr>
        <w:pStyle w:val="Heading1"/>
        <w:tabs>
          <w:tab w:val="left" w:pos="836"/>
          <w:tab w:val="left" w:pos="837"/>
        </w:tabs>
        <w:ind w:left="709" w:firstLine="0"/>
        <w:rPr>
          <w:rFonts w:ascii="Cambria" w:hAnsi="Cambria"/>
          <w:lang w:val="en-US"/>
        </w:rPr>
      </w:pPr>
      <w:r w:rsidRPr="00D91C11">
        <w:rPr>
          <w:rFonts w:ascii="Cambria" w:hAnsi="Cambria"/>
          <w:lang w:val="en-US"/>
        </w:rPr>
        <w:t>Decree 99/2022/ND-CP takes effect from January 15, 2023.</w:t>
      </w:r>
    </w:p>
    <w:p w14:paraId="612FA462" w14:textId="77777777" w:rsidR="006264FD" w:rsidRPr="00D91C11" w:rsidRDefault="006264FD" w:rsidP="001F00A9">
      <w:pPr>
        <w:pStyle w:val="ListParagraph"/>
        <w:widowControl/>
        <w:autoSpaceDE/>
        <w:autoSpaceDN/>
        <w:ind w:left="709" w:firstLine="0"/>
        <w:contextualSpacing/>
        <w:jc w:val="both"/>
        <w:rPr>
          <w:rFonts w:ascii="Cambria" w:hAnsi="Cambria"/>
          <w:b/>
          <w:bCs/>
          <w:lang w:val="en-US"/>
        </w:rPr>
      </w:pPr>
    </w:p>
    <w:p w14:paraId="1C6B6C18" w14:textId="26D7346C" w:rsidR="00905DF4" w:rsidRPr="00D91C11" w:rsidRDefault="002501BC" w:rsidP="001F00A9">
      <w:pPr>
        <w:pStyle w:val="ListParagraph"/>
        <w:widowControl/>
        <w:numPr>
          <w:ilvl w:val="1"/>
          <w:numId w:val="3"/>
        </w:numPr>
        <w:autoSpaceDE/>
        <w:autoSpaceDN/>
        <w:ind w:left="709" w:hanging="709"/>
        <w:contextualSpacing/>
        <w:jc w:val="both"/>
        <w:rPr>
          <w:rFonts w:ascii="Cambria" w:hAnsi="Cambria"/>
          <w:b/>
          <w:bCs/>
          <w:lang w:val="en-US"/>
        </w:rPr>
      </w:pPr>
      <w:r w:rsidRPr="00D91C11">
        <w:rPr>
          <w:rFonts w:ascii="Cambria" w:hAnsi="Cambria"/>
          <w:b/>
          <w:bCs/>
          <w:lang w:val="en-US"/>
        </w:rPr>
        <w:t>Raw materials, supplies and components for the production of information technology products, digital content and software may be exempt from import duty</w:t>
      </w:r>
    </w:p>
    <w:p w14:paraId="35FB0762" w14:textId="7A57012E" w:rsidR="00905DF4" w:rsidRPr="00D91C11" w:rsidRDefault="00905DF4" w:rsidP="001F00A9">
      <w:pPr>
        <w:pStyle w:val="ListParagraph"/>
        <w:widowControl/>
        <w:autoSpaceDE/>
        <w:autoSpaceDN/>
        <w:ind w:left="709" w:firstLine="0"/>
        <w:contextualSpacing/>
        <w:jc w:val="both"/>
        <w:rPr>
          <w:rFonts w:ascii="Cambria" w:hAnsi="Cambria"/>
          <w:b/>
          <w:bCs/>
          <w:lang w:val="en-US"/>
        </w:rPr>
      </w:pPr>
    </w:p>
    <w:p w14:paraId="09D7A824" w14:textId="1AFC6879" w:rsidR="006264FD" w:rsidRPr="00D91C11" w:rsidRDefault="006264FD" w:rsidP="001F00A9">
      <w:pPr>
        <w:ind w:left="720"/>
        <w:jc w:val="both"/>
        <w:rPr>
          <w:rFonts w:ascii="Cambria" w:hAnsi="Cambria"/>
          <w:bCs/>
          <w:lang w:val="en-US"/>
        </w:rPr>
      </w:pPr>
      <w:r w:rsidRPr="00D91C11">
        <w:rPr>
          <w:rFonts w:ascii="Cambria" w:hAnsi="Cambria"/>
          <w:bCs/>
          <w:lang w:val="en-US"/>
        </w:rPr>
        <w:t xml:space="preserve">On December 31, 2022, Ministry of Information and Communication issued Circular 25/2022/TT-BTTTT stipulating </w:t>
      </w:r>
      <w:r w:rsidR="00D841AB" w:rsidRPr="00D91C11">
        <w:rPr>
          <w:rFonts w:ascii="Cambria" w:hAnsi="Cambria"/>
          <w:bCs/>
          <w:lang w:val="en-US"/>
        </w:rPr>
        <w:t xml:space="preserve">the determination of imported raw materials, supplies and </w:t>
      </w:r>
      <w:r w:rsidR="00D841AB" w:rsidRPr="00D91C11">
        <w:rPr>
          <w:rFonts w:ascii="Cambria" w:hAnsi="Cambria"/>
          <w:bCs/>
          <w:lang w:val="en-US"/>
        </w:rPr>
        <w:lastRenderedPageBreak/>
        <w:t>components exempt from import duty directly related to the production of information technology (IT) products, digital content and software</w:t>
      </w:r>
      <w:r w:rsidRPr="00D91C11">
        <w:rPr>
          <w:rFonts w:ascii="Cambria" w:hAnsi="Cambria"/>
          <w:bCs/>
          <w:lang w:val="en-US"/>
        </w:rPr>
        <w:t xml:space="preserve"> (hereinafter referred to as “</w:t>
      </w:r>
      <w:r w:rsidRPr="00D91C11">
        <w:rPr>
          <w:rFonts w:ascii="Cambria" w:hAnsi="Cambria"/>
          <w:b/>
          <w:lang w:val="en-US"/>
        </w:rPr>
        <w:t>Circular 25/2022/TT-BTTTT</w:t>
      </w:r>
      <w:r w:rsidRPr="00D91C11">
        <w:rPr>
          <w:rFonts w:ascii="Cambria" w:hAnsi="Cambria"/>
          <w:bCs/>
          <w:lang w:val="en-US"/>
        </w:rPr>
        <w:t xml:space="preserve">”). Accordingly, </w:t>
      </w:r>
      <w:r w:rsidR="00D841AB" w:rsidRPr="00D91C11">
        <w:rPr>
          <w:rFonts w:ascii="Cambria" w:hAnsi="Cambria"/>
          <w:bCs/>
          <w:lang w:val="en-US"/>
        </w:rPr>
        <w:t>Circular 25/2022/TT-BTTTT has set out a number of criteria to evaluate the exemption and reduction of import duty for raw materials, supplies and components related to the production of IT products.</w:t>
      </w:r>
    </w:p>
    <w:p w14:paraId="60409A36" w14:textId="77777777" w:rsidR="00D841AB" w:rsidRPr="00D91C11" w:rsidRDefault="00D841AB" w:rsidP="001F00A9">
      <w:pPr>
        <w:ind w:left="720"/>
        <w:jc w:val="both"/>
        <w:rPr>
          <w:rFonts w:ascii="Cambria" w:hAnsi="Cambria"/>
          <w:bCs/>
          <w:lang w:val="en-US"/>
        </w:rPr>
      </w:pPr>
    </w:p>
    <w:p w14:paraId="57583191" w14:textId="7BE8175E" w:rsidR="00905DF4" w:rsidRPr="00D91C11" w:rsidRDefault="00D841AB" w:rsidP="001F00A9">
      <w:pPr>
        <w:ind w:left="720"/>
        <w:jc w:val="both"/>
        <w:rPr>
          <w:rFonts w:ascii="Cambria" w:hAnsi="Cambria"/>
          <w:bCs/>
          <w:lang w:val="en-US"/>
        </w:rPr>
      </w:pPr>
      <w:r w:rsidRPr="00D91C11">
        <w:rPr>
          <w:rFonts w:ascii="Cambria" w:hAnsi="Cambria"/>
          <w:bCs/>
          <w:lang w:val="en-US"/>
        </w:rPr>
        <w:t>In details, pursuant to Article 2 of Circular 25/2022/TT-BTTTT, the criteria for raw materials, supplies and components to be exempt from import duty for the production of IT products, digital content, software, including:</w:t>
      </w:r>
    </w:p>
    <w:p w14:paraId="11D56E5B" w14:textId="43F7609D" w:rsidR="00D841AB" w:rsidRPr="00D91C11" w:rsidRDefault="00D841AB" w:rsidP="001F00A9">
      <w:pPr>
        <w:ind w:left="720"/>
        <w:jc w:val="both"/>
        <w:rPr>
          <w:rFonts w:ascii="Cambria" w:hAnsi="Cambria"/>
          <w:bCs/>
          <w:lang w:val="en-US"/>
        </w:rPr>
      </w:pPr>
    </w:p>
    <w:p w14:paraId="044252C9" w14:textId="16A89F91" w:rsidR="00D841AB" w:rsidRPr="00D91C11" w:rsidRDefault="00D841AB" w:rsidP="001F00A9">
      <w:pPr>
        <w:pStyle w:val="ListParagraph"/>
        <w:numPr>
          <w:ilvl w:val="0"/>
          <w:numId w:val="24"/>
        </w:numPr>
        <w:jc w:val="both"/>
        <w:rPr>
          <w:rFonts w:ascii="Cambria" w:hAnsi="Cambria"/>
          <w:bCs/>
          <w:lang w:val="en-US"/>
        </w:rPr>
      </w:pPr>
      <w:r w:rsidRPr="00D91C11">
        <w:rPr>
          <w:rFonts w:ascii="Cambria" w:hAnsi="Cambria"/>
          <w:bCs/>
          <w:lang w:val="en-US"/>
        </w:rPr>
        <w:t xml:space="preserve">Being raw materials, supplies and components imported directly for the production of products on the List of software, hardware and electronic products specified in Circular No. 09/2013/TT-BTTTT dated 08 April 2013 of the Minister of Information and Communication </w:t>
      </w:r>
      <w:r w:rsidR="002501BC" w:rsidRPr="00D91C11">
        <w:rPr>
          <w:rFonts w:ascii="Cambria" w:hAnsi="Cambria"/>
          <w:bCs/>
          <w:lang w:val="en-US"/>
        </w:rPr>
        <w:t>p</w:t>
      </w:r>
      <w:r w:rsidRPr="00D91C11">
        <w:rPr>
          <w:rFonts w:ascii="Cambria" w:hAnsi="Cambria"/>
          <w:bCs/>
          <w:lang w:val="en-US"/>
        </w:rPr>
        <w:t>romulgating the list of software and hardware, electronic</w:t>
      </w:r>
      <w:r w:rsidR="002501BC" w:rsidRPr="00D91C11">
        <w:rPr>
          <w:rFonts w:ascii="Cambria" w:hAnsi="Cambria"/>
          <w:bCs/>
          <w:lang w:val="en-US"/>
        </w:rPr>
        <w:t xml:space="preserve"> products</w:t>
      </w:r>
      <w:r w:rsidRPr="00D91C11">
        <w:rPr>
          <w:rFonts w:ascii="Cambria" w:hAnsi="Cambria"/>
          <w:bCs/>
          <w:lang w:val="en-US"/>
        </w:rPr>
        <w:t xml:space="preserve"> and Circular No. 20/2021/TT-BTTTT dated December </w:t>
      </w:r>
      <w:r w:rsidR="002501BC" w:rsidRPr="00D91C11">
        <w:rPr>
          <w:rFonts w:ascii="Cambria" w:hAnsi="Cambria"/>
          <w:bCs/>
          <w:lang w:val="en-US"/>
        </w:rPr>
        <w:t>0</w:t>
      </w:r>
      <w:r w:rsidRPr="00D91C11">
        <w:rPr>
          <w:rFonts w:ascii="Cambria" w:hAnsi="Cambria"/>
          <w:bCs/>
          <w:lang w:val="en-US"/>
        </w:rPr>
        <w:t>3, 2021 of the Minister of Information and Communication amending and supplementing</w:t>
      </w:r>
      <w:r w:rsidR="002501BC" w:rsidRPr="00D91C11">
        <w:rPr>
          <w:rFonts w:ascii="Cambria" w:hAnsi="Cambria"/>
          <w:bCs/>
          <w:lang w:val="en-US"/>
        </w:rPr>
        <w:t xml:space="preserve"> above</w:t>
      </w:r>
      <w:r w:rsidRPr="00D91C11">
        <w:rPr>
          <w:rFonts w:ascii="Cambria" w:hAnsi="Cambria"/>
          <w:bCs/>
          <w:lang w:val="en-US"/>
        </w:rPr>
        <w:t xml:space="preserve"> Circular No. 09/2013/TT-BTTTT; </w:t>
      </w:r>
      <w:r w:rsidR="002501BC" w:rsidRPr="00D91C11">
        <w:rPr>
          <w:rFonts w:ascii="Cambria" w:hAnsi="Cambria"/>
          <w:bCs/>
          <w:lang w:val="en-US"/>
        </w:rPr>
        <w:t>or on the list of digital content products as prescribed by the Ministry of Information and Communication. Based on the development situation and management policy in each period, the Ministry of Information and Communication will update and adjust the lists accordingly;</w:t>
      </w:r>
    </w:p>
    <w:p w14:paraId="3C7AA1A3" w14:textId="32B4A0AD" w:rsidR="002501BC" w:rsidRPr="00D91C11" w:rsidRDefault="002501BC" w:rsidP="001F00A9">
      <w:pPr>
        <w:pStyle w:val="ListParagraph"/>
        <w:ind w:left="1440" w:firstLine="0"/>
        <w:jc w:val="both"/>
        <w:rPr>
          <w:rFonts w:ascii="Cambria" w:hAnsi="Cambria"/>
          <w:bCs/>
          <w:lang w:val="en-US"/>
        </w:rPr>
      </w:pPr>
    </w:p>
    <w:p w14:paraId="503B5CA2" w14:textId="5684D9A6" w:rsidR="002501BC" w:rsidRPr="00D91C11" w:rsidRDefault="002501BC" w:rsidP="001F00A9">
      <w:pPr>
        <w:pStyle w:val="ListParagraph"/>
        <w:numPr>
          <w:ilvl w:val="0"/>
          <w:numId w:val="24"/>
        </w:numPr>
        <w:jc w:val="both"/>
        <w:rPr>
          <w:rFonts w:ascii="Cambria" w:hAnsi="Cambria"/>
          <w:bCs/>
          <w:lang w:val="en-US"/>
        </w:rPr>
      </w:pPr>
      <w:r w:rsidRPr="00D91C11">
        <w:rPr>
          <w:rFonts w:ascii="Cambria" w:hAnsi="Cambria"/>
          <w:bCs/>
          <w:lang w:val="en-US"/>
        </w:rPr>
        <w:t>Not on the List of machinery, equipment, raw materials, supplies and components for the telecommunications - information technology industry, digital content and software that can be produced domestically in Appendix 8 issued with Circular No. 05/2021/TT-BKHDT dated August 17, 2021 of the Minister of Planning and Investment promulgating the list of machinery, equipment, spare parts, specialized means of transport, raw materials and supplies , semi-finished products that can be produced domestically.</w:t>
      </w:r>
    </w:p>
    <w:p w14:paraId="6D727EF6" w14:textId="77777777" w:rsidR="00905DF4" w:rsidRPr="00D91C11" w:rsidRDefault="00905DF4" w:rsidP="001F00A9">
      <w:pPr>
        <w:ind w:left="720"/>
        <w:jc w:val="both"/>
        <w:rPr>
          <w:rFonts w:ascii="Cambria" w:hAnsi="Cambria"/>
          <w:bCs/>
          <w:lang w:val="en-US"/>
        </w:rPr>
      </w:pPr>
    </w:p>
    <w:p w14:paraId="2204AAF8" w14:textId="328078E4" w:rsidR="002501BC" w:rsidRPr="00D91C11" w:rsidRDefault="002501BC" w:rsidP="001F00A9">
      <w:pPr>
        <w:pStyle w:val="Heading1"/>
        <w:tabs>
          <w:tab w:val="left" w:pos="836"/>
          <w:tab w:val="left" w:pos="837"/>
        </w:tabs>
        <w:ind w:left="709" w:firstLine="0"/>
        <w:rPr>
          <w:rFonts w:ascii="Cambria" w:hAnsi="Cambria"/>
          <w:lang w:val="en-US"/>
        </w:rPr>
      </w:pPr>
      <w:r w:rsidRPr="00D91C11">
        <w:rPr>
          <w:rFonts w:ascii="Cambria" w:hAnsi="Cambria"/>
          <w:bCs w:val="0"/>
          <w:lang w:val="en-US"/>
        </w:rPr>
        <w:t>Circular 25/2022/TT-BTTTT</w:t>
      </w:r>
      <w:r w:rsidRPr="00D91C11">
        <w:rPr>
          <w:rFonts w:ascii="Cambria" w:hAnsi="Cambria"/>
          <w:lang w:val="en-US"/>
        </w:rPr>
        <w:t xml:space="preserve"> takes effect from February 15, 2023.</w:t>
      </w:r>
    </w:p>
    <w:p w14:paraId="30B9BFC3" w14:textId="77777777" w:rsidR="00905DF4" w:rsidRPr="00D91C11" w:rsidRDefault="00905DF4" w:rsidP="001F00A9">
      <w:pPr>
        <w:pStyle w:val="Heading1"/>
        <w:tabs>
          <w:tab w:val="left" w:pos="836"/>
          <w:tab w:val="left" w:pos="837"/>
        </w:tabs>
        <w:ind w:left="0" w:firstLine="0"/>
        <w:rPr>
          <w:rFonts w:ascii="Cambria" w:hAnsi="Cambria"/>
          <w:lang w:val="en-US"/>
        </w:rPr>
      </w:pPr>
    </w:p>
    <w:p w14:paraId="10847E60" w14:textId="21AB6AC7" w:rsidR="00A40283" w:rsidRPr="00D91C11" w:rsidRDefault="00A40283" w:rsidP="001F00A9">
      <w:pPr>
        <w:pStyle w:val="Heading1"/>
        <w:numPr>
          <w:ilvl w:val="0"/>
          <w:numId w:val="1"/>
        </w:numPr>
        <w:ind w:left="709"/>
        <w:rPr>
          <w:rFonts w:ascii="Cambria" w:hAnsi="Cambria"/>
          <w:lang w:val="en-US"/>
        </w:rPr>
      </w:pPr>
      <w:r w:rsidRPr="00D91C11">
        <w:rPr>
          <w:rFonts w:ascii="Cambria" w:hAnsi="Cambria"/>
          <w:lang w:val="en-US"/>
        </w:rPr>
        <w:t xml:space="preserve">Featured Articles of ADK Lawyer in </w:t>
      </w:r>
      <w:bookmarkStart w:id="1" w:name="Luật_sư_Lê_Tiến_Đạt_–_Luật_sư_điều_hành_"/>
      <w:bookmarkEnd w:id="1"/>
      <w:r w:rsidR="007B4FCF" w:rsidRPr="00D91C11">
        <w:rPr>
          <w:rFonts w:ascii="Cambria" w:hAnsi="Cambria"/>
          <w:lang w:val="en-US"/>
        </w:rPr>
        <w:t>January</w:t>
      </w:r>
    </w:p>
    <w:p w14:paraId="45F0F2AE" w14:textId="77777777" w:rsidR="00A40283" w:rsidRPr="00D91C11" w:rsidRDefault="00A40283" w:rsidP="001F00A9">
      <w:pPr>
        <w:pStyle w:val="Heading1"/>
        <w:ind w:left="709" w:firstLine="0"/>
        <w:rPr>
          <w:rFonts w:ascii="Cambria" w:hAnsi="Cambria"/>
          <w:lang w:val="en-US"/>
        </w:rPr>
      </w:pPr>
    </w:p>
    <w:p w14:paraId="479AD3D4" w14:textId="74DE7A71" w:rsidR="00A40283" w:rsidRPr="00D91C11" w:rsidRDefault="00A40283" w:rsidP="001F00A9">
      <w:pPr>
        <w:pStyle w:val="Heading1"/>
        <w:ind w:left="709" w:firstLine="0"/>
        <w:jc w:val="both"/>
        <w:rPr>
          <w:rFonts w:ascii="Cambria" w:hAnsi="Cambria"/>
          <w:lang w:val="en-US"/>
        </w:rPr>
      </w:pPr>
      <w:r w:rsidRPr="00D91C11">
        <w:rPr>
          <w:rFonts w:ascii="Cambria" w:hAnsi="Cambria"/>
          <w:b w:val="0"/>
          <w:lang w:val="en-US"/>
        </w:rPr>
        <w:t>The article “</w:t>
      </w:r>
      <w:r w:rsidR="00FD2F20" w:rsidRPr="00D91C11">
        <w:rPr>
          <w:rFonts w:ascii="Cambria" w:hAnsi="Cambria"/>
          <w:b w:val="0"/>
          <w:lang w:val="en-US"/>
        </w:rPr>
        <w:t>Legal issues regarding share swap deal in Vietnam”</w:t>
      </w:r>
      <w:r w:rsidR="008639F6" w:rsidRPr="00D91C11">
        <w:rPr>
          <w:rFonts w:ascii="Cambria" w:hAnsi="Cambria"/>
          <w:b w:val="0"/>
          <w:lang w:val="en-US"/>
        </w:rPr>
        <w:t xml:space="preserve">. The article has given an overview of </w:t>
      </w:r>
      <w:r w:rsidR="00FD2F20" w:rsidRPr="00D91C11">
        <w:rPr>
          <w:rFonts w:ascii="Cambria" w:hAnsi="Cambria"/>
          <w:b w:val="0"/>
          <w:lang w:val="en-US"/>
        </w:rPr>
        <w:t>the “share swap deal” as well as the main legal procedures to perform a share swap transaction in Vietnam</w:t>
      </w:r>
      <w:r w:rsidR="008639F6" w:rsidRPr="00D91C11">
        <w:rPr>
          <w:rFonts w:ascii="Cambria" w:hAnsi="Cambria"/>
          <w:b w:val="0"/>
          <w:lang w:val="en-US"/>
        </w:rPr>
        <w:t xml:space="preserve"> in accordance with current laws</w:t>
      </w:r>
      <w:r w:rsidR="001E6E8E" w:rsidRPr="00D91C11">
        <w:rPr>
          <w:rFonts w:ascii="Cambria" w:hAnsi="Cambria"/>
          <w:b w:val="0"/>
          <w:lang w:val="en-US"/>
        </w:rPr>
        <w:t>.</w:t>
      </w:r>
    </w:p>
    <w:p w14:paraId="19BD44F5" w14:textId="77777777" w:rsidR="00A40283" w:rsidRPr="00D91C11" w:rsidRDefault="00A40283" w:rsidP="001F00A9">
      <w:pPr>
        <w:pStyle w:val="Heading1"/>
        <w:ind w:left="1418" w:firstLine="0"/>
        <w:rPr>
          <w:rFonts w:ascii="Cambria" w:hAnsi="Cambria"/>
          <w:b w:val="0"/>
          <w:lang w:val="en-US"/>
        </w:rPr>
      </w:pPr>
    </w:p>
    <w:p w14:paraId="0D0B35C9" w14:textId="6EA7D0DB" w:rsidR="00A40283" w:rsidRPr="00D91C11" w:rsidRDefault="00A40283" w:rsidP="001F00A9">
      <w:pPr>
        <w:pStyle w:val="BodyText"/>
        <w:ind w:left="709" w:right="423"/>
        <w:jc w:val="both"/>
        <w:rPr>
          <w:rFonts w:ascii="Cambria" w:hAnsi="Cambria"/>
          <w:lang w:val="en-US"/>
        </w:rPr>
      </w:pPr>
      <w:bookmarkStart w:id="2" w:name="-_Một_vài_lưu_ý_pháp_lý_trong_quá_trình_"/>
      <w:bookmarkEnd w:id="2"/>
      <w:r w:rsidRPr="00D91C11">
        <w:rPr>
          <w:rFonts w:ascii="Cambria" w:hAnsi="Cambria"/>
          <w:lang w:val="en-US"/>
        </w:rPr>
        <w:t>To read the</w:t>
      </w:r>
      <w:r w:rsidRPr="00D91C11">
        <w:rPr>
          <w:rFonts w:ascii="Cambria" w:hAnsi="Cambria"/>
          <w:spacing w:val="-3"/>
          <w:lang w:val="en-US"/>
        </w:rPr>
        <w:t xml:space="preserve"> above articles</w:t>
      </w:r>
      <w:r w:rsidRPr="00D91C11">
        <w:rPr>
          <w:rFonts w:ascii="Cambria" w:hAnsi="Cambria"/>
          <w:lang w:val="en-US"/>
        </w:rPr>
        <w:t xml:space="preserve"> in more detail, please visit </w:t>
      </w:r>
      <w:r w:rsidRPr="00D91C11">
        <w:rPr>
          <w:rFonts w:ascii="Cambria" w:hAnsi="Cambria"/>
          <w:spacing w:val="-3"/>
          <w:lang w:val="en-US"/>
        </w:rPr>
        <w:t>our</w:t>
      </w:r>
      <w:r w:rsidRPr="00D91C11">
        <w:rPr>
          <w:rFonts w:ascii="Cambria" w:hAnsi="Cambria"/>
          <w:lang w:val="en-US"/>
        </w:rPr>
        <w:t xml:space="preserve"> website at: </w:t>
      </w:r>
      <w:hyperlink r:id="rId9" w:history="1">
        <w:r w:rsidR="00FD2F20" w:rsidRPr="00D91C11">
          <w:rPr>
            <w:rStyle w:val="Hyperlink"/>
            <w:lang w:val="en-US"/>
          </w:rPr>
          <w:t>https://adk-lawyers.com/en/notable-legal-matters-for-share-swap-deal-in-vietnam</w:t>
        </w:r>
      </w:hyperlink>
      <w:r w:rsidR="00FD2F20" w:rsidRPr="00D91C11">
        <w:rPr>
          <w:lang w:val="en-US"/>
        </w:rPr>
        <w:t>.</w:t>
      </w:r>
    </w:p>
    <w:p w14:paraId="021B1E24" w14:textId="77777777" w:rsidR="00A40283" w:rsidRPr="00D91C11" w:rsidRDefault="00A40283" w:rsidP="001F00A9">
      <w:pPr>
        <w:pStyle w:val="BodyText"/>
        <w:ind w:left="709" w:right="423"/>
        <w:jc w:val="both"/>
        <w:rPr>
          <w:rFonts w:ascii="Cambria" w:hAnsi="Cambria"/>
          <w:lang w:val="en-US"/>
        </w:rPr>
      </w:pPr>
    </w:p>
    <w:p w14:paraId="655FEE71" w14:textId="0C9320D5" w:rsidR="00A40283" w:rsidRPr="00D91C11" w:rsidRDefault="00A40283" w:rsidP="001F00A9">
      <w:pPr>
        <w:pStyle w:val="Heading1"/>
        <w:numPr>
          <w:ilvl w:val="0"/>
          <w:numId w:val="1"/>
        </w:numPr>
        <w:tabs>
          <w:tab w:val="left" w:pos="836"/>
          <w:tab w:val="left" w:pos="837"/>
        </w:tabs>
        <w:ind w:left="709"/>
        <w:rPr>
          <w:rFonts w:ascii="Cambria" w:hAnsi="Cambria"/>
          <w:lang w:val="en-US"/>
        </w:rPr>
      </w:pPr>
      <w:bookmarkStart w:id="3" w:name="3._Văn_bản_sắp_có_hiệu_lực"/>
      <w:bookmarkEnd w:id="3"/>
      <w:r w:rsidRPr="00D91C11">
        <w:rPr>
          <w:rFonts w:ascii="Cambria" w:hAnsi="Cambria"/>
          <w:lang w:val="en-US"/>
        </w:rPr>
        <w:t xml:space="preserve">Some prominent </w:t>
      </w:r>
      <w:r w:rsidR="00150D27" w:rsidRPr="00D91C11">
        <w:rPr>
          <w:rFonts w:ascii="Cambria" w:hAnsi="Cambria"/>
          <w:lang w:val="en-US"/>
        </w:rPr>
        <w:t>legal instruments</w:t>
      </w:r>
      <w:r w:rsidRPr="00D91C11">
        <w:rPr>
          <w:rFonts w:ascii="Cambria" w:hAnsi="Cambria"/>
          <w:lang w:val="en-US"/>
        </w:rPr>
        <w:t xml:space="preserve"> take effect from </w:t>
      </w:r>
      <w:r w:rsidR="00FD2F20" w:rsidRPr="00D91C11">
        <w:rPr>
          <w:rFonts w:ascii="Cambria" w:hAnsi="Cambria"/>
          <w:lang w:val="en-US"/>
        </w:rPr>
        <w:t>February</w:t>
      </w:r>
      <w:r w:rsidRPr="00D91C11">
        <w:rPr>
          <w:rFonts w:ascii="Cambria" w:hAnsi="Cambria"/>
          <w:lang w:val="en-US"/>
        </w:rPr>
        <w:t xml:space="preserve"> 202</w:t>
      </w:r>
      <w:r w:rsidR="00FD2F20" w:rsidRPr="00D91C11">
        <w:rPr>
          <w:rFonts w:ascii="Cambria" w:hAnsi="Cambria"/>
          <w:lang w:val="en-US"/>
        </w:rPr>
        <w:t>3</w:t>
      </w:r>
    </w:p>
    <w:p w14:paraId="2C4B5B11" w14:textId="77777777" w:rsidR="00A40283" w:rsidRPr="00D91C11" w:rsidRDefault="00A40283" w:rsidP="001F00A9">
      <w:pPr>
        <w:pStyle w:val="BodyText"/>
        <w:rPr>
          <w:rFonts w:ascii="Cambria" w:hAnsi="Cambria"/>
          <w:b/>
          <w:lang w:val="en-US"/>
        </w:rPr>
      </w:pPr>
    </w:p>
    <w:tbl>
      <w:tblPr>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701"/>
        <w:gridCol w:w="1572"/>
        <w:gridCol w:w="7"/>
      </w:tblGrid>
      <w:tr w:rsidR="00A40283" w:rsidRPr="00D91C11" w14:paraId="0D412931" w14:textId="77777777" w:rsidTr="00150D27">
        <w:trPr>
          <w:gridAfter w:val="1"/>
          <w:wAfter w:w="7" w:type="dxa"/>
          <w:trHeight w:val="537"/>
        </w:trPr>
        <w:tc>
          <w:tcPr>
            <w:tcW w:w="709" w:type="dxa"/>
            <w:shd w:val="clear" w:color="auto" w:fill="DEEAF6" w:themeFill="accent5" w:themeFillTint="33"/>
            <w:vAlign w:val="center"/>
          </w:tcPr>
          <w:p w14:paraId="61F168E0" w14:textId="08F49D60" w:rsidR="00A40283" w:rsidRPr="00D91C11" w:rsidRDefault="00A40283" w:rsidP="001F00A9">
            <w:pPr>
              <w:pStyle w:val="TableParagraph"/>
              <w:spacing w:line="240" w:lineRule="auto"/>
              <w:ind w:left="119"/>
              <w:jc w:val="center"/>
              <w:rPr>
                <w:rFonts w:ascii="Cambria" w:hAnsi="Cambria"/>
                <w:b/>
                <w:lang w:val="en-US"/>
              </w:rPr>
            </w:pPr>
            <w:r w:rsidRPr="00D91C11">
              <w:rPr>
                <w:rFonts w:ascii="Cambria" w:hAnsi="Cambria"/>
                <w:b/>
                <w:lang w:val="en-US"/>
              </w:rPr>
              <w:t>No</w:t>
            </w:r>
            <w:r w:rsidR="00150D27" w:rsidRPr="00D91C11">
              <w:rPr>
                <w:rFonts w:ascii="Cambria" w:hAnsi="Cambria"/>
                <w:b/>
                <w:lang w:val="en-US"/>
              </w:rPr>
              <w:t>.</w:t>
            </w:r>
          </w:p>
        </w:tc>
        <w:tc>
          <w:tcPr>
            <w:tcW w:w="6379" w:type="dxa"/>
            <w:shd w:val="clear" w:color="auto" w:fill="DEEAF6" w:themeFill="accent5" w:themeFillTint="33"/>
            <w:vAlign w:val="center"/>
          </w:tcPr>
          <w:p w14:paraId="05514114" w14:textId="5E398826" w:rsidR="00A40283" w:rsidRPr="00D91C11" w:rsidRDefault="00150D27" w:rsidP="001F00A9">
            <w:pPr>
              <w:pStyle w:val="TableParagraph"/>
              <w:spacing w:line="240" w:lineRule="auto"/>
              <w:ind w:left="151" w:right="134"/>
              <w:jc w:val="center"/>
              <w:rPr>
                <w:rFonts w:ascii="Cambria" w:hAnsi="Cambria"/>
                <w:b/>
                <w:lang w:val="en-US"/>
              </w:rPr>
            </w:pPr>
            <w:r w:rsidRPr="00D91C11">
              <w:rPr>
                <w:rFonts w:ascii="Cambria" w:hAnsi="Cambria"/>
                <w:b/>
                <w:lang w:val="en-US"/>
              </w:rPr>
              <w:t>Name of legal instrument</w:t>
            </w:r>
          </w:p>
        </w:tc>
        <w:tc>
          <w:tcPr>
            <w:tcW w:w="1701" w:type="dxa"/>
            <w:shd w:val="clear" w:color="auto" w:fill="DEEAF6" w:themeFill="accent5" w:themeFillTint="33"/>
            <w:vAlign w:val="center"/>
          </w:tcPr>
          <w:p w14:paraId="193A5EBB" w14:textId="04F3684A" w:rsidR="00A40283" w:rsidRPr="00D91C11" w:rsidRDefault="00A40283" w:rsidP="001F00A9">
            <w:pPr>
              <w:pStyle w:val="TableParagraph"/>
              <w:spacing w:line="240" w:lineRule="auto"/>
              <w:ind w:left="283" w:right="286"/>
              <w:jc w:val="center"/>
              <w:rPr>
                <w:rFonts w:ascii="Cambria" w:hAnsi="Cambria"/>
                <w:b/>
                <w:lang w:val="en-US"/>
              </w:rPr>
            </w:pPr>
            <w:r w:rsidRPr="00D91C11">
              <w:rPr>
                <w:rFonts w:ascii="Cambria" w:hAnsi="Cambria"/>
                <w:b/>
                <w:lang w:val="en-US"/>
              </w:rPr>
              <w:t xml:space="preserve">Date </w:t>
            </w:r>
            <w:r w:rsidR="00150D27" w:rsidRPr="00D91C11">
              <w:rPr>
                <w:rFonts w:ascii="Cambria" w:hAnsi="Cambria"/>
                <w:b/>
                <w:lang w:val="en-US"/>
              </w:rPr>
              <w:t>of I</w:t>
            </w:r>
            <w:r w:rsidRPr="00D91C11">
              <w:rPr>
                <w:rFonts w:ascii="Cambria" w:hAnsi="Cambria"/>
                <w:b/>
                <w:lang w:val="en-US"/>
              </w:rPr>
              <w:t>ssue</w:t>
            </w:r>
          </w:p>
        </w:tc>
        <w:tc>
          <w:tcPr>
            <w:tcW w:w="1572" w:type="dxa"/>
            <w:shd w:val="clear" w:color="auto" w:fill="DEEAF6" w:themeFill="accent5" w:themeFillTint="33"/>
            <w:vAlign w:val="center"/>
          </w:tcPr>
          <w:p w14:paraId="6F50E3D4" w14:textId="77777777" w:rsidR="00A40283" w:rsidRPr="00D91C11" w:rsidRDefault="00A40283" w:rsidP="001F00A9">
            <w:pPr>
              <w:pStyle w:val="TableParagraph"/>
              <w:spacing w:line="240" w:lineRule="auto"/>
              <w:ind w:left="139"/>
              <w:jc w:val="center"/>
              <w:rPr>
                <w:rFonts w:ascii="Cambria" w:hAnsi="Cambria"/>
                <w:b/>
                <w:lang w:val="en-US"/>
              </w:rPr>
            </w:pPr>
            <w:r w:rsidRPr="00D91C11">
              <w:rPr>
                <w:rFonts w:ascii="Cambria" w:hAnsi="Cambria"/>
                <w:b/>
                <w:lang w:val="en-US"/>
              </w:rPr>
              <w:t>Date of Effective</w:t>
            </w:r>
          </w:p>
        </w:tc>
      </w:tr>
      <w:tr w:rsidR="00A40283" w:rsidRPr="00D91C11" w14:paraId="7A35FF14" w14:textId="77777777" w:rsidTr="009E1789">
        <w:trPr>
          <w:trHeight w:val="341"/>
        </w:trPr>
        <w:tc>
          <w:tcPr>
            <w:tcW w:w="10368" w:type="dxa"/>
            <w:gridSpan w:val="5"/>
          </w:tcPr>
          <w:p w14:paraId="17D5E2F1" w14:textId="77777777" w:rsidR="00A40283" w:rsidRPr="00D91C11" w:rsidRDefault="00A40283" w:rsidP="001F00A9">
            <w:pPr>
              <w:pStyle w:val="TableParagraph"/>
              <w:spacing w:line="240" w:lineRule="auto"/>
              <w:ind w:left="151" w:right="134"/>
              <w:jc w:val="center"/>
              <w:rPr>
                <w:rFonts w:ascii="Cambria" w:hAnsi="Cambria"/>
                <w:b/>
                <w:lang w:val="en-US"/>
              </w:rPr>
            </w:pPr>
            <w:bookmarkStart w:id="4" w:name="_Hlk84174501"/>
            <w:r w:rsidRPr="00D91C11">
              <w:rPr>
                <w:rFonts w:ascii="Cambria" w:hAnsi="Cambria"/>
                <w:b/>
                <w:lang w:val="en-US"/>
              </w:rPr>
              <w:t>DECREE</w:t>
            </w:r>
          </w:p>
          <w:p w14:paraId="036FFC7D" w14:textId="77777777" w:rsidR="00A40283" w:rsidRPr="00D91C11" w:rsidRDefault="00A40283" w:rsidP="001F00A9">
            <w:pPr>
              <w:pStyle w:val="TableParagraph"/>
              <w:spacing w:line="240" w:lineRule="auto"/>
              <w:ind w:left="151" w:right="134"/>
              <w:jc w:val="center"/>
              <w:rPr>
                <w:rFonts w:ascii="Cambria" w:hAnsi="Cambria"/>
                <w:b/>
                <w:lang w:val="en-US"/>
              </w:rPr>
            </w:pPr>
          </w:p>
        </w:tc>
      </w:tr>
      <w:tr w:rsidR="00150D27" w:rsidRPr="00D91C11" w14:paraId="2BD53053" w14:textId="77777777" w:rsidTr="009E1789">
        <w:trPr>
          <w:gridAfter w:val="1"/>
          <w:wAfter w:w="7" w:type="dxa"/>
          <w:trHeight w:val="950"/>
        </w:trPr>
        <w:tc>
          <w:tcPr>
            <w:tcW w:w="709" w:type="dxa"/>
          </w:tcPr>
          <w:p w14:paraId="0487A0E6" w14:textId="77777777" w:rsidR="00150D27" w:rsidRPr="00D91C11" w:rsidRDefault="00150D27" w:rsidP="001F00A9">
            <w:pPr>
              <w:pStyle w:val="TableParagraph"/>
              <w:numPr>
                <w:ilvl w:val="0"/>
                <w:numId w:val="2"/>
              </w:numPr>
              <w:spacing w:line="240" w:lineRule="auto"/>
              <w:rPr>
                <w:rFonts w:ascii="Cambria" w:hAnsi="Cambria"/>
                <w:lang w:val="en-US"/>
              </w:rPr>
            </w:pPr>
          </w:p>
        </w:tc>
        <w:tc>
          <w:tcPr>
            <w:tcW w:w="6379" w:type="dxa"/>
          </w:tcPr>
          <w:p w14:paraId="62344A21" w14:textId="5F1D43C3" w:rsidR="00150D27" w:rsidRPr="00D91C11" w:rsidRDefault="00150D27" w:rsidP="001F00A9">
            <w:pPr>
              <w:ind w:left="151" w:right="134"/>
              <w:jc w:val="both"/>
              <w:rPr>
                <w:rFonts w:ascii="Cambria" w:hAnsi="Cambria"/>
                <w:lang w:val="en-US"/>
              </w:rPr>
            </w:pPr>
            <w:r w:rsidRPr="00D91C11">
              <w:rPr>
                <w:rFonts w:ascii="Cambria" w:hAnsi="Cambria"/>
                <w:lang w:val="en-US"/>
              </w:rPr>
              <w:t>Decree 128/2022/ND-CP of the Government on amendments</w:t>
            </w:r>
            <w:r w:rsidR="00346318" w:rsidRPr="00D91C11">
              <w:rPr>
                <w:rFonts w:ascii="Cambria" w:hAnsi="Cambria"/>
                <w:lang w:val="en-US"/>
              </w:rPr>
              <w:t xml:space="preserve"> to</w:t>
            </w:r>
            <w:r w:rsidRPr="00D91C11">
              <w:rPr>
                <w:rFonts w:ascii="Cambria" w:hAnsi="Cambria"/>
                <w:lang w:val="en-US"/>
              </w:rPr>
              <w:t xml:space="preserve"> several articles of Decree no. 38/2021/ND-CP dated March 29, 2021 prescribing penalties for administrative violations involving cultural and advertising activities amended by Decree no. 129/2021/ND-CP dated December 30, 2021 of the Government on amendments to some articles of decrees providing for penalties for administrative violations against regulations on tourism; sports; copyright and related rights; cultural and advertising activities</w:t>
            </w:r>
          </w:p>
        </w:tc>
        <w:tc>
          <w:tcPr>
            <w:tcW w:w="1701" w:type="dxa"/>
          </w:tcPr>
          <w:p w14:paraId="0B0CC522" w14:textId="2D8209EA" w:rsidR="00150D27" w:rsidRPr="00D91C11" w:rsidRDefault="00150D27" w:rsidP="001F00A9">
            <w:pPr>
              <w:pStyle w:val="TableParagraph"/>
              <w:spacing w:line="240" w:lineRule="auto"/>
              <w:ind w:left="139" w:right="131"/>
              <w:jc w:val="center"/>
              <w:rPr>
                <w:rFonts w:ascii="Cambria" w:hAnsi="Cambria"/>
                <w:lang w:val="en-US"/>
              </w:rPr>
            </w:pPr>
            <w:r w:rsidRPr="00D91C11">
              <w:rPr>
                <w:rFonts w:ascii="Cambria" w:hAnsi="Cambria"/>
                <w:lang w:val="en-US"/>
              </w:rPr>
              <w:t>30/12/2022</w:t>
            </w:r>
          </w:p>
        </w:tc>
        <w:tc>
          <w:tcPr>
            <w:tcW w:w="1572" w:type="dxa"/>
          </w:tcPr>
          <w:p w14:paraId="03F36779" w14:textId="0B3A8791" w:rsidR="00150D27" w:rsidRPr="00D91C11" w:rsidRDefault="00150D27" w:rsidP="001F00A9">
            <w:pPr>
              <w:pStyle w:val="TableParagraph"/>
              <w:spacing w:line="240" w:lineRule="auto"/>
              <w:ind w:left="139" w:right="131"/>
              <w:jc w:val="center"/>
              <w:rPr>
                <w:rFonts w:ascii="Cambria" w:hAnsi="Cambria"/>
                <w:lang w:val="en-US"/>
              </w:rPr>
            </w:pPr>
            <w:r w:rsidRPr="00D91C11">
              <w:rPr>
                <w:rFonts w:ascii="Cambria" w:hAnsi="Cambria"/>
                <w:lang w:val="en-US"/>
              </w:rPr>
              <w:t>15/02/2023</w:t>
            </w:r>
          </w:p>
        </w:tc>
      </w:tr>
      <w:tr w:rsidR="00096FBE" w:rsidRPr="00D91C11" w14:paraId="5EA6E8D3" w14:textId="77777777" w:rsidTr="00150D27">
        <w:trPr>
          <w:trHeight w:val="491"/>
        </w:trPr>
        <w:tc>
          <w:tcPr>
            <w:tcW w:w="10368" w:type="dxa"/>
            <w:gridSpan w:val="5"/>
            <w:tcBorders>
              <w:top w:val="single" w:sz="4" w:space="0" w:color="000000"/>
              <w:left w:val="single" w:sz="4" w:space="0" w:color="000000"/>
              <w:bottom w:val="single" w:sz="4" w:space="0" w:color="000000"/>
              <w:right w:val="single" w:sz="4" w:space="0" w:color="000000"/>
            </w:tcBorders>
            <w:vAlign w:val="center"/>
          </w:tcPr>
          <w:p w14:paraId="082DC338" w14:textId="77777777" w:rsidR="00096FBE" w:rsidRPr="00D91C11" w:rsidRDefault="00096FBE" w:rsidP="001F00A9">
            <w:pPr>
              <w:pStyle w:val="TableParagraph"/>
              <w:spacing w:line="240" w:lineRule="auto"/>
              <w:ind w:left="151" w:right="134"/>
              <w:jc w:val="center"/>
              <w:rPr>
                <w:rFonts w:ascii="Cambria" w:hAnsi="Cambria"/>
                <w:b/>
                <w:lang w:val="en-US"/>
              </w:rPr>
            </w:pPr>
            <w:r w:rsidRPr="00D91C11">
              <w:rPr>
                <w:rFonts w:ascii="Cambria" w:hAnsi="Cambria"/>
                <w:b/>
                <w:lang w:val="en-US"/>
              </w:rPr>
              <w:t>CIRCULAR</w:t>
            </w:r>
          </w:p>
        </w:tc>
      </w:tr>
      <w:tr w:rsidR="00346318" w:rsidRPr="00D91C11" w14:paraId="1A105CE8"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43ECA4F"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E40281" w14:textId="4C1D19AA"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No. 75/2022/TT-BTC of the Ministry of Finance prescribing the collection rates, collection methods, payment and management of residence registration fees</w:t>
            </w:r>
          </w:p>
        </w:tc>
        <w:tc>
          <w:tcPr>
            <w:tcW w:w="1701" w:type="dxa"/>
            <w:tcBorders>
              <w:top w:val="single" w:sz="4" w:space="0" w:color="000000"/>
              <w:left w:val="single" w:sz="4" w:space="0" w:color="000000"/>
              <w:bottom w:val="single" w:sz="4" w:space="0" w:color="000000"/>
              <w:right w:val="single" w:sz="4" w:space="0" w:color="000000"/>
            </w:tcBorders>
          </w:tcPr>
          <w:p w14:paraId="4140E57B" w14:textId="41729098"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22/12/2022</w:t>
            </w:r>
          </w:p>
        </w:tc>
        <w:tc>
          <w:tcPr>
            <w:tcW w:w="1572" w:type="dxa"/>
            <w:tcBorders>
              <w:top w:val="single" w:sz="4" w:space="0" w:color="000000"/>
              <w:left w:val="single" w:sz="4" w:space="0" w:color="000000"/>
              <w:bottom w:val="single" w:sz="4" w:space="0" w:color="000000"/>
              <w:right w:val="single" w:sz="4" w:space="0" w:color="000000"/>
            </w:tcBorders>
          </w:tcPr>
          <w:p w14:paraId="71B0789F" w14:textId="26ED6C59"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05/02/2023</w:t>
            </w:r>
          </w:p>
        </w:tc>
      </w:tr>
      <w:tr w:rsidR="00346318" w:rsidRPr="00D91C11" w14:paraId="5D6A3F6E"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C8EE8D"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744887" w14:textId="101705FE"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18/2022/TT-NHNN of the State Bank of Vietnam amending Circular 09/2015/TT-NHNN regulating debt purchase and sale activities of credit institutions and foreign bank branches</w:t>
            </w:r>
          </w:p>
        </w:tc>
        <w:tc>
          <w:tcPr>
            <w:tcW w:w="1701" w:type="dxa"/>
            <w:tcBorders>
              <w:top w:val="single" w:sz="4" w:space="0" w:color="000000"/>
              <w:left w:val="single" w:sz="4" w:space="0" w:color="000000"/>
              <w:bottom w:val="single" w:sz="4" w:space="0" w:color="000000"/>
              <w:right w:val="single" w:sz="4" w:space="0" w:color="000000"/>
            </w:tcBorders>
          </w:tcPr>
          <w:p w14:paraId="030F2A74" w14:textId="42BD3297"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26/12/2022</w:t>
            </w:r>
          </w:p>
        </w:tc>
        <w:tc>
          <w:tcPr>
            <w:tcW w:w="1572" w:type="dxa"/>
            <w:tcBorders>
              <w:top w:val="single" w:sz="4" w:space="0" w:color="000000"/>
              <w:left w:val="single" w:sz="4" w:space="0" w:color="000000"/>
              <w:bottom w:val="single" w:sz="4" w:space="0" w:color="000000"/>
              <w:right w:val="single" w:sz="4" w:space="0" w:color="000000"/>
            </w:tcBorders>
          </w:tcPr>
          <w:p w14:paraId="77DC670C" w14:textId="1C1623ED"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09/02/2023</w:t>
            </w:r>
          </w:p>
        </w:tc>
      </w:tr>
      <w:tr w:rsidR="00346318" w:rsidRPr="00D91C11" w14:paraId="58D3B425"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50104A7B"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C0643A0" w14:textId="271FE2D6"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20/2022/TT-NHNN of the State Bank of Vietnam guiding the one-way money transfer from Vietnam to abroad and payment, money transfer for other current transactions of residents being organizations, individual</w:t>
            </w:r>
          </w:p>
        </w:tc>
        <w:tc>
          <w:tcPr>
            <w:tcW w:w="1701" w:type="dxa"/>
            <w:tcBorders>
              <w:top w:val="single" w:sz="4" w:space="0" w:color="000000"/>
              <w:left w:val="single" w:sz="4" w:space="0" w:color="000000"/>
              <w:bottom w:val="single" w:sz="4" w:space="0" w:color="000000"/>
              <w:right w:val="single" w:sz="4" w:space="0" w:color="000000"/>
            </w:tcBorders>
          </w:tcPr>
          <w:p w14:paraId="375D1D07" w14:textId="297EA73E"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30/12/2022</w:t>
            </w:r>
          </w:p>
        </w:tc>
        <w:tc>
          <w:tcPr>
            <w:tcW w:w="1572" w:type="dxa"/>
            <w:tcBorders>
              <w:top w:val="single" w:sz="4" w:space="0" w:color="000000"/>
              <w:left w:val="single" w:sz="4" w:space="0" w:color="000000"/>
              <w:bottom w:val="single" w:sz="4" w:space="0" w:color="000000"/>
              <w:right w:val="single" w:sz="4" w:space="0" w:color="000000"/>
            </w:tcBorders>
          </w:tcPr>
          <w:p w14:paraId="0A2F6F76" w14:textId="69AA3AEC"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15/02/2023</w:t>
            </w:r>
          </w:p>
        </w:tc>
      </w:tr>
      <w:tr w:rsidR="00346318" w:rsidRPr="00D91C11" w14:paraId="25F35470"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CB2C4B6"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013148B9" w14:textId="0EE815FD"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25/2022/TT-NHNN of the State Bank of Vietnam stipulating the accounting regime for delivery, transfer, issuance, withdrawal and destruction of cash at the State Bank of Vietnam</w:t>
            </w:r>
          </w:p>
        </w:tc>
        <w:tc>
          <w:tcPr>
            <w:tcW w:w="1701" w:type="dxa"/>
            <w:tcBorders>
              <w:top w:val="single" w:sz="4" w:space="0" w:color="000000"/>
              <w:left w:val="single" w:sz="4" w:space="0" w:color="000000"/>
              <w:bottom w:val="single" w:sz="4" w:space="0" w:color="000000"/>
              <w:right w:val="single" w:sz="4" w:space="0" w:color="000000"/>
            </w:tcBorders>
          </w:tcPr>
          <w:p w14:paraId="5ABF8313" w14:textId="0F5B4648" w:rsidR="00346318" w:rsidRPr="00D91C11" w:rsidRDefault="00346318" w:rsidP="001F00A9">
            <w:pPr>
              <w:ind w:left="150" w:right="133"/>
              <w:jc w:val="center"/>
              <w:rPr>
                <w:rFonts w:ascii="Cambria" w:hAnsi="Cambria"/>
                <w:lang w:val="en-US"/>
              </w:rPr>
            </w:pPr>
            <w:r w:rsidRPr="00D91C11">
              <w:rPr>
                <w:rFonts w:ascii="Cambria" w:hAnsi="Cambria"/>
                <w:lang w:val="en-US"/>
              </w:rPr>
              <w:t>30/12/2022</w:t>
            </w:r>
          </w:p>
        </w:tc>
        <w:tc>
          <w:tcPr>
            <w:tcW w:w="1572" w:type="dxa"/>
            <w:tcBorders>
              <w:top w:val="single" w:sz="4" w:space="0" w:color="000000"/>
              <w:left w:val="single" w:sz="4" w:space="0" w:color="000000"/>
              <w:bottom w:val="single" w:sz="4" w:space="0" w:color="000000"/>
              <w:right w:val="single" w:sz="4" w:space="0" w:color="000000"/>
            </w:tcBorders>
          </w:tcPr>
          <w:p w14:paraId="00144DA5" w14:textId="1BDB28C8"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15/02/2023</w:t>
            </w:r>
          </w:p>
        </w:tc>
      </w:tr>
      <w:tr w:rsidR="00346318" w:rsidRPr="00D91C11" w14:paraId="2919F5C1"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45EDA7"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5BAC882" w14:textId="1634D27B"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01/2023/TT-BLDTBXH of the Ministry of Labor, War Invalids and Social Affairs prescribing the adjustment of salary and monthly income for which social insurance premiums have been paid</w:t>
            </w:r>
          </w:p>
        </w:tc>
        <w:tc>
          <w:tcPr>
            <w:tcW w:w="1701" w:type="dxa"/>
            <w:tcBorders>
              <w:top w:val="single" w:sz="4" w:space="0" w:color="000000"/>
              <w:left w:val="single" w:sz="4" w:space="0" w:color="000000"/>
              <w:bottom w:val="single" w:sz="4" w:space="0" w:color="000000"/>
              <w:right w:val="single" w:sz="4" w:space="0" w:color="000000"/>
            </w:tcBorders>
          </w:tcPr>
          <w:p w14:paraId="39AAD67B" w14:textId="56F91CE1" w:rsidR="00346318" w:rsidRPr="00D91C11" w:rsidRDefault="00346318" w:rsidP="001F00A9">
            <w:pPr>
              <w:ind w:left="150" w:right="133"/>
              <w:jc w:val="center"/>
              <w:rPr>
                <w:rFonts w:ascii="Cambria" w:hAnsi="Cambria"/>
                <w:lang w:val="en-US"/>
              </w:rPr>
            </w:pPr>
            <w:r w:rsidRPr="00D91C11">
              <w:rPr>
                <w:rFonts w:ascii="Cambria" w:hAnsi="Cambria"/>
                <w:lang w:val="en-US"/>
              </w:rPr>
              <w:t>03/01/2023</w:t>
            </w:r>
          </w:p>
        </w:tc>
        <w:tc>
          <w:tcPr>
            <w:tcW w:w="1572" w:type="dxa"/>
            <w:tcBorders>
              <w:top w:val="single" w:sz="4" w:space="0" w:color="000000"/>
              <w:left w:val="single" w:sz="4" w:space="0" w:color="000000"/>
              <w:bottom w:val="single" w:sz="4" w:space="0" w:color="000000"/>
              <w:right w:val="single" w:sz="4" w:space="0" w:color="000000"/>
            </w:tcBorders>
          </w:tcPr>
          <w:p w14:paraId="69F2F7D1" w14:textId="7CCDDD50"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20/02/2023</w:t>
            </w:r>
          </w:p>
        </w:tc>
      </w:tr>
      <w:tr w:rsidR="00346318" w:rsidRPr="00D91C11" w14:paraId="45EC2176"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1CEACDC0"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6E3F046" w14:textId="5C46A1E4"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25/2022/TT-BTTTT of Ministry of Information and Communication stipulating the determination of imported raw materials, supplies and components exempt from import duty directly related to the production of information technology (IT) products, digital content and software</w:t>
            </w:r>
          </w:p>
        </w:tc>
        <w:tc>
          <w:tcPr>
            <w:tcW w:w="1701" w:type="dxa"/>
            <w:tcBorders>
              <w:top w:val="single" w:sz="4" w:space="0" w:color="000000"/>
              <w:left w:val="single" w:sz="4" w:space="0" w:color="000000"/>
              <w:bottom w:val="single" w:sz="4" w:space="0" w:color="000000"/>
              <w:right w:val="single" w:sz="4" w:space="0" w:color="000000"/>
            </w:tcBorders>
          </w:tcPr>
          <w:p w14:paraId="2185B01B" w14:textId="04148102" w:rsidR="00346318" w:rsidRPr="00D91C11" w:rsidRDefault="00346318" w:rsidP="001F00A9">
            <w:pPr>
              <w:ind w:left="150" w:right="133"/>
              <w:jc w:val="center"/>
              <w:rPr>
                <w:rFonts w:ascii="Cambria" w:hAnsi="Cambria"/>
                <w:lang w:val="en-US"/>
              </w:rPr>
            </w:pPr>
            <w:r w:rsidRPr="00D91C11">
              <w:rPr>
                <w:rFonts w:ascii="Cambria" w:hAnsi="Cambria"/>
                <w:lang w:val="en-US"/>
              </w:rPr>
              <w:t>31/12/2022</w:t>
            </w:r>
          </w:p>
        </w:tc>
        <w:tc>
          <w:tcPr>
            <w:tcW w:w="1572" w:type="dxa"/>
            <w:tcBorders>
              <w:top w:val="single" w:sz="4" w:space="0" w:color="000000"/>
              <w:left w:val="single" w:sz="4" w:space="0" w:color="000000"/>
              <w:bottom w:val="single" w:sz="4" w:space="0" w:color="000000"/>
              <w:right w:val="single" w:sz="4" w:space="0" w:color="000000"/>
            </w:tcBorders>
          </w:tcPr>
          <w:p w14:paraId="20C1CD42" w14:textId="72AE165C"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15/02/2023</w:t>
            </w:r>
          </w:p>
        </w:tc>
      </w:tr>
      <w:tr w:rsidR="00346318" w:rsidRPr="00D91C11" w14:paraId="280C6D1B"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A81B428" w14:textId="77777777" w:rsidR="00346318" w:rsidRPr="00D91C11" w:rsidRDefault="00346318" w:rsidP="001F00A9">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6CE946A2" w14:textId="541133AA" w:rsidR="00346318" w:rsidRPr="00D91C11" w:rsidRDefault="00346318" w:rsidP="001F00A9">
            <w:pPr>
              <w:pStyle w:val="TableParagraph"/>
              <w:spacing w:line="240" w:lineRule="auto"/>
              <w:ind w:left="151" w:right="134"/>
              <w:contextualSpacing/>
              <w:jc w:val="both"/>
              <w:rPr>
                <w:rFonts w:ascii="Cambria" w:hAnsi="Cambria"/>
                <w:lang w:val="en-US"/>
              </w:rPr>
            </w:pPr>
            <w:r w:rsidRPr="00D91C11">
              <w:rPr>
                <w:rFonts w:ascii="Cambria" w:hAnsi="Cambria"/>
                <w:lang w:val="en-US"/>
              </w:rPr>
              <w:t>Circular 18/2022/TT-BKHCN of the Ministry of Science and Technology guiding the compulsory contents to be displayed on goods labels of some groups of goods by electronic means</w:t>
            </w:r>
          </w:p>
        </w:tc>
        <w:tc>
          <w:tcPr>
            <w:tcW w:w="1701" w:type="dxa"/>
            <w:tcBorders>
              <w:top w:val="single" w:sz="4" w:space="0" w:color="000000"/>
              <w:left w:val="single" w:sz="4" w:space="0" w:color="000000"/>
              <w:bottom w:val="single" w:sz="4" w:space="0" w:color="000000"/>
              <w:right w:val="single" w:sz="4" w:space="0" w:color="000000"/>
            </w:tcBorders>
          </w:tcPr>
          <w:p w14:paraId="4C47A877" w14:textId="6631E2F6" w:rsidR="00346318" w:rsidRPr="00D91C11" w:rsidRDefault="00346318" w:rsidP="001F00A9">
            <w:pPr>
              <w:ind w:left="150" w:right="133"/>
              <w:jc w:val="center"/>
              <w:rPr>
                <w:rFonts w:ascii="Cambria" w:hAnsi="Cambria"/>
                <w:lang w:val="en-US"/>
              </w:rPr>
            </w:pPr>
            <w:r w:rsidRPr="00D91C11">
              <w:rPr>
                <w:rFonts w:ascii="Cambria" w:hAnsi="Cambria"/>
                <w:lang w:val="en-US"/>
              </w:rPr>
              <w:t>30/12/2022</w:t>
            </w:r>
          </w:p>
        </w:tc>
        <w:tc>
          <w:tcPr>
            <w:tcW w:w="1572" w:type="dxa"/>
            <w:tcBorders>
              <w:top w:val="single" w:sz="4" w:space="0" w:color="000000"/>
              <w:left w:val="single" w:sz="4" w:space="0" w:color="000000"/>
              <w:bottom w:val="single" w:sz="4" w:space="0" w:color="000000"/>
              <w:right w:val="single" w:sz="4" w:space="0" w:color="000000"/>
            </w:tcBorders>
          </w:tcPr>
          <w:p w14:paraId="7416C18E" w14:textId="22DCE238" w:rsidR="00346318" w:rsidRPr="00D91C11" w:rsidRDefault="00346318" w:rsidP="001F00A9">
            <w:pPr>
              <w:pStyle w:val="TableParagraph"/>
              <w:spacing w:line="240" w:lineRule="auto"/>
              <w:ind w:left="150" w:right="133"/>
              <w:jc w:val="center"/>
              <w:rPr>
                <w:rFonts w:ascii="Cambria" w:hAnsi="Cambria"/>
                <w:lang w:val="en-US"/>
              </w:rPr>
            </w:pPr>
            <w:r w:rsidRPr="00D91C11">
              <w:rPr>
                <w:rFonts w:ascii="Cambria" w:hAnsi="Cambria"/>
                <w:lang w:val="en-US"/>
              </w:rPr>
              <w:t>15/02/2023</w:t>
            </w:r>
          </w:p>
        </w:tc>
      </w:tr>
      <w:bookmarkEnd w:id="4"/>
    </w:tbl>
    <w:p w14:paraId="1D02571C" w14:textId="77777777" w:rsidR="00A40283" w:rsidRPr="00D91C11" w:rsidRDefault="00A40283" w:rsidP="001F00A9">
      <w:pPr>
        <w:jc w:val="both"/>
        <w:rPr>
          <w:rFonts w:ascii="Cambria" w:hAnsi="Cambria"/>
          <w:lang w:val="en-US"/>
        </w:rPr>
      </w:pPr>
    </w:p>
    <w:p w14:paraId="7DD48B10" w14:textId="77777777" w:rsidR="00A40283" w:rsidRPr="00D91C11" w:rsidRDefault="00A40283" w:rsidP="001F00A9">
      <w:pPr>
        <w:jc w:val="both"/>
        <w:rPr>
          <w:rFonts w:ascii="Cambria" w:hAnsi="Cambria"/>
          <w:lang w:val="en-US"/>
        </w:rPr>
      </w:pPr>
      <w:r w:rsidRPr="00D91C11">
        <w:rPr>
          <w:rFonts w:ascii="Cambria" w:hAnsi="Cambria"/>
          <w:lang w:val="en-US"/>
        </w:rPr>
        <w:t>We hope this Legal Newsletter has a lot of useful information.</w:t>
      </w:r>
    </w:p>
    <w:p w14:paraId="5DE7D700" w14:textId="77777777" w:rsidR="00A40283" w:rsidRPr="00D91C11" w:rsidRDefault="00A40283" w:rsidP="001F00A9">
      <w:pPr>
        <w:jc w:val="both"/>
        <w:rPr>
          <w:rFonts w:ascii="Cambria" w:hAnsi="Cambria"/>
          <w:lang w:val="en-US"/>
        </w:rPr>
      </w:pPr>
    </w:p>
    <w:p w14:paraId="22301450" w14:textId="77777777" w:rsidR="00A40283" w:rsidRPr="00D91C11" w:rsidRDefault="00A40283" w:rsidP="001F00A9">
      <w:pPr>
        <w:rPr>
          <w:rFonts w:ascii="Cambria" w:hAnsi="Cambria"/>
          <w:lang w:val="en-US"/>
        </w:rPr>
      </w:pPr>
      <w:r w:rsidRPr="00D91C11">
        <w:rPr>
          <w:rFonts w:ascii="Cambria" w:hAnsi="Cambria"/>
          <w:lang w:val="en-US"/>
        </w:rPr>
        <w:t>Best Regards.</w:t>
      </w:r>
    </w:p>
    <w:p w14:paraId="2987F776" w14:textId="77777777" w:rsidR="00A40283" w:rsidRPr="00D91C11" w:rsidRDefault="00A40283" w:rsidP="001F00A9">
      <w:pPr>
        <w:jc w:val="both"/>
        <w:rPr>
          <w:rFonts w:ascii="Cambria" w:hAnsi="Cambria"/>
          <w:lang w:val="en-US"/>
        </w:rPr>
      </w:pPr>
    </w:p>
    <w:p w14:paraId="602D3EC2" w14:textId="77777777" w:rsidR="00A40283" w:rsidRPr="00D91C11" w:rsidRDefault="00A40283" w:rsidP="001F00A9">
      <w:pPr>
        <w:contextualSpacing/>
        <w:jc w:val="both"/>
        <w:rPr>
          <w:rFonts w:ascii="Cambria" w:hAnsi="Cambria"/>
          <w:lang w:val="en-US"/>
        </w:rPr>
      </w:pPr>
    </w:p>
    <w:p w14:paraId="42CD90F6" w14:textId="77777777" w:rsidR="00A40283" w:rsidRPr="00D91C11" w:rsidRDefault="00A40283" w:rsidP="001F00A9">
      <w:pPr>
        <w:contextualSpacing/>
        <w:jc w:val="both"/>
        <w:rPr>
          <w:rFonts w:ascii="Cambria" w:hAnsi="Cambria"/>
          <w:lang w:val="en-US"/>
        </w:rPr>
      </w:pPr>
    </w:p>
    <w:p w14:paraId="1271A548" w14:textId="77777777" w:rsidR="00A40283" w:rsidRPr="00D91C11" w:rsidRDefault="00A40283" w:rsidP="001F00A9">
      <w:pPr>
        <w:contextualSpacing/>
        <w:jc w:val="both"/>
        <w:rPr>
          <w:rFonts w:ascii="Cambria" w:hAnsi="Cambria"/>
          <w:lang w:val="en-US"/>
        </w:rPr>
      </w:pPr>
    </w:p>
    <w:p w14:paraId="2CDE6A83" w14:textId="77777777" w:rsidR="00A40283" w:rsidRPr="00D91C11" w:rsidRDefault="00A40283" w:rsidP="001F00A9">
      <w:pPr>
        <w:jc w:val="both"/>
        <w:rPr>
          <w:rFonts w:ascii="Cambria" w:hAnsi="Cambria"/>
          <w:lang w:val="en-US"/>
        </w:rPr>
      </w:pPr>
    </w:p>
    <w:p w14:paraId="6BA8F5A2" w14:textId="77777777" w:rsidR="00A40283" w:rsidRPr="00D91C11" w:rsidRDefault="00A40283" w:rsidP="001F00A9">
      <w:pPr>
        <w:jc w:val="both"/>
        <w:rPr>
          <w:rFonts w:ascii="Cambria" w:hAnsi="Cambria"/>
          <w:lang w:val="en-US"/>
        </w:rPr>
      </w:pPr>
    </w:p>
    <w:p w14:paraId="4BE44415" w14:textId="77777777" w:rsidR="00A40283" w:rsidRPr="00D91C11" w:rsidRDefault="00A40283" w:rsidP="001F00A9">
      <w:pPr>
        <w:jc w:val="both"/>
        <w:rPr>
          <w:rFonts w:ascii="Cambria" w:hAnsi="Cambria"/>
          <w:lang w:val="en-US"/>
        </w:rPr>
      </w:pPr>
    </w:p>
    <w:p w14:paraId="0F14B9C4" w14:textId="77777777" w:rsidR="00A40283" w:rsidRPr="00D91C11" w:rsidRDefault="00A40283" w:rsidP="001F00A9">
      <w:pPr>
        <w:jc w:val="both"/>
        <w:rPr>
          <w:rFonts w:ascii="Cambria" w:hAnsi="Cambria"/>
          <w:lang w:val="en-US"/>
        </w:rPr>
      </w:pPr>
    </w:p>
    <w:p w14:paraId="29274967" w14:textId="77777777" w:rsidR="00A40283" w:rsidRPr="00D91C11" w:rsidRDefault="00A40283" w:rsidP="001F00A9">
      <w:pPr>
        <w:jc w:val="both"/>
        <w:rPr>
          <w:rFonts w:ascii="Cambria" w:hAnsi="Cambria"/>
          <w:lang w:val="en-US"/>
        </w:rPr>
      </w:pPr>
    </w:p>
    <w:p w14:paraId="6337CCE8" w14:textId="77777777" w:rsidR="00A40283" w:rsidRPr="00D91C11" w:rsidRDefault="00A40283" w:rsidP="001F00A9">
      <w:pPr>
        <w:jc w:val="both"/>
        <w:rPr>
          <w:rFonts w:ascii="Cambria" w:hAnsi="Cambria"/>
          <w:lang w:val="en-US"/>
        </w:rPr>
      </w:pPr>
    </w:p>
    <w:p w14:paraId="6EBCCDF9" w14:textId="77777777" w:rsidR="00A40283" w:rsidRPr="00D91C11" w:rsidRDefault="00A40283" w:rsidP="001F00A9">
      <w:pPr>
        <w:jc w:val="both"/>
        <w:rPr>
          <w:rFonts w:ascii="Cambria" w:hAnsi="Cambria"/>
          <w:lang w:val="en-US"/>
        </w:rPr>
      </w:pPr>
    </w:p>
    <w:p w14:paraId="5C36C6A9" w14:textId="77777777" w:rsidR="00A40283" w:rsidRPr="00D91C11" w:rsidRDefault="00A40283" w:rsidP="001F00A9">
      <w:pPr>
        <w:jc w:val="both"/>
        <w:rPr>
          <w:rFonts w:ascii="Cambria" w:hAnsi="Cambria"/>
          <w:lang w:val="en-US"/>
        </w:rPr>
      </w:pPr>
    </w:p>
    <w:p w14:paraId="3C702F51" w14:textId="77777777" w:rsidR="00A40283" w:rsidRPr="00D91C11" w:rsidRDefault="00A40283" w:rsidP="001F00A9">
      <w:pPr>
        <w:jc w:val="both"/>
        <w:rPr>
          <w:rFonts w:ascii="Cambria" w:hAnsi="Cambria"/>
          <w:lang w:val="en-US"/>
        </w:rPr>
      </w:pPr>
    </w:p>
    <w:p w14:paraId="509FF6BA" w14:textId="22397CAF" w:rsidR="005C29F6" w:rsidRPr="00D91C11" w:rsidRDefault="005C29F6" w:rsidP="001F00A9">
      <w:pPr>
        <w:rPr>
          <w:rFonts w:ascii="Cambria" w:hAnsi="Cambria"/>
          <w:lang w:val="en-US"/>
        </w:rPr>
      </w:pPr>
    </w:p>
    <w:p w14:paraId="1270FAA0" w14:textId="1BEDD51D" w:rsidR="00DA7189" w:rsidRPr="00D91C11" w:rsidRDefault="00DA7189" w:rsidP="001F00A9">
      <w:pPr>
        <w:rPr>
          <w:rFonts w:ascii="Cambria" w:hAnsi="Cambria"/>
          <w:lang w:val="en-US"/>
        </w:rPr>
      </w:pPr>
    </w:p>
    <w:p w14:paraId="0E158810" w14:textId="6B118F13" w:rsidR="00DA7189" w:rsidRPr="00D91C11" w:rsidRDefault="00DA7189" w:rsidP="001F00A9">
      <w:pPr>
        <w:rPr>
          <w:rFonts w:ascii="Cambria" w:hAnsi="Cambria"/>
          <w:lang w:val="en-US"/>
        </w:rPr>
      </w:pPr>
    </w:p>
    <w:p w14:paraId="1BAAADC3" w14:textId="7DD8CE01" w:rsidR="00DA7189" w:rsidRPr="00D91C11" w:rsidRDefault="00DA7189" w:rsidP="001F00A9">
      <w:pPr>
        <w:rPr>
          <w:rFonts w:ascii="Cambria" w:hAnsi="Cambria"/>
          <w:lang w:val="en-US"/>
        </w:rPr>
      </w:pPr>
    </w:p>
    <w:p w14:paraId="0163F71A" w14:textId="730B41EF" w:rsidR="00DA7189" w:rsidRPr="00D91C11" w:rsidRDefault="00DA7189" w:rsidP="001F00A9">
      <w:pPr>
        <w:rPr>
          <w:rFonts w:ascii="Cambria" w:hAnsi="Cambria"/>
          <w:lang w:val="en-US"/>
        </w:rPr>
      </w:pPr>
    </w:p>
    <w:p w14:paraId="11ED7573" w14:textId="5DBF72F3" w:rsidR="00DA7189" w:rsidRPr="00D91C11" w:rsidRDefault="00DA7189" w:rsidP="001F00A9">
      <w:pPr>
        <w:rPr>
          <w:rFonts w:ascii="Cambria" w:hAnsi="Cambria"/>
          <w:lang w:val="en-US"/>
        </w:rPr>
      </w:pPr>
    </w:p>
    <w:p w14:paraId="14A9BAA2" w14:textId="4E6990F9" w:rsidR="00DA7189" w:rsidRPr="00D91C11" w:rsidRDefault="00DA7189" w:rsidP="001F00A9">
      <w:pPr>
        <w:rPr>
          <w:rFonts w:ascii="Cambria" w:hAnsi="Cambria"/>
          <w:lang w:val="en-US"/>
        </w:rPr>
      </w:pPr>
    </w:p>
    <w:p w14:paraId="42EB7C2B" w14:textId="5F07640C" w:rsidR="00DA7189" w:rsidRPr="00D91C11" w:rsidRDefault="00DA7189" w:rsidP="001F00A9">
      <w:pPr>
        <w:rPr>
          <w:rFonts w:ascii="Cambria" w:hAnsi="Cambria"/>
          <w:lang w:val="en-US"/>
        </w:rPr>
      </w:pPr>
    </w:p>
    <w:p w14:paraId="399605D0" w14:textId="4B69D427" w:rsidR="00DA7189" w:rsidRPr="00D91C11" w:rsidRDefault="00DA7189" w:rsidP="001F00A9">
      <w:pPr>
        <w:rPr>
          <w:rFonts w:ascii="Cambria" w:hAnsi="Cambria"/>
          <w:lang w:val="en-US"/>
        </w:rPr>
      </w:pPr>
    </w:p>
    <w:p w14:paraId="35FCC2F8" w14:textId="3CD08607" w:rsidR="00DA7189" w:rsidRPr="00D91C11" w:rsidRDefault="00DA7189" w:rsidP="001F00A9">
      <w:pPr>
        <w:rPr>
          <w:rFonts w:ascii="Cambria" w:hAnsi="Cambria"/>
          <w:lang w:val="en-US"/>
        </w:rPr>
      </w:pPr>
    </w:p>
    <w:p w14:paraId="26B27D88" w14:textId="28868CB8" w:rsidR="00DA7189" w:rsidRPr="00D91C11" w:rsidRDefault="00DA7189" w:rsidP="001F00A9">
      <w:pPr>
        <w:rPr>
          <w:rFonts w:ascii="Cambria" w:hAnsi="Cambria"/>
          <w:lang w:val="en-US"/>
        </w:rPr>
      </w:pPr>
    </w:p>
    <w:p w14:paraId="4CD13F2B" w14:textId="127123AC" w:rsidR="00DA7189" w:rsidRPr="00D91C11" w:rsidRDefault="00DA7189" w:rsidP="001F00A9">
      <w:pPr>
        <w:rPr>
          <w:rFonts w:ascii="Cambria" w:hAnsi="Cambria"/>
          <w:lang w:val="en-US"/>
        </w:rPr>
      </w:pPr>
    </w:p>
    <w:p w14:paraId="1972492A" w14:textId="506D9544" w:rsidR="00DA7189" w:rsidRPr="00D91C11" w:rsidRDefault="00DA7189" w:rsidP="001F00A9">
      <w:pPr>
        <w:rPr>
          <w:rFonts w:ascii="Cambria" w:hAnsi="Cambria"/>
          <w:lang w:val="en-US"/>
        </w:rPr>
      </w:pPr>
    </w:p>
    <w:p w14:paraId="170436B6" w14:textId="17B391E7" w:rsidR="00DA7189" w:rsidRPr="00D91C11" w:rsidRDefault="00DA7189" w:rsidP="001F00A9">
      <w:pPr>
        <w:rPr>
          <w:rFonts w:ascii="Cambria" w:hAnsi="Cambria"/>
          <w:lang w:val="en-US"/>
        </w:rPr>
      </w:pPr>
    </w:p>
    <w:p w14:paraId="5EF0FDB8" w14:textId="5E425B87" w:rsidR="00DA7189" w:rsidRPr="00D91C11" w:rsidRDefault="00DA7189" w:rsidP="001F00A9">
      <w:pPr>
        <w:rPr>
          <w:rFonts w:ascii="Cambria" w:hAnsi="Cambria"/>
          <w:lang w:val="en-US"/>
        </w:rPr>
      </w:pPr>
    </w:p>
    <w:p w14:paraId="32BE2229" w14:textId="433149BF" w:rsidR="00DA7189" w:rsidRPr="00D91C11" w:rsidRDefault="00DA7189" w:rsidP="001F00A9">
      <w:pPr>
        <w:rPr>
          <w:rFonts w:ascii="Cambria" w:hAnsi="Cambria"/>
          <w:lang w:val="en-US"/>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DA7189" w:rsidRPr="00D91C11" w14:paraId="757AD4B4" w14:textId="77777777" w:rsidTr="0010075C">
        <w:trPr>
          <w:trHeight w:val="4343"/>
        </w:trPr>
        <w:tc>
          <w:tcPr>
            <w:tcW w:w="20" w:type="dxa"/>
            <w:tcBorders>
              <w:top w:val="nil"/>
              <w:left w:val="nil"/>
              <w:right w:val="nil"/>
            </w:tcBorders>
          </w:tcPr>
          <w:p w14:paraId="3F574A5A" w14:textId="77777777" w:rsidR="00DA7189" w:rsidRPr="00D91C11" w:rsidRDefault="00DA7189" w:rsidP="001F00A9">
            <w:pPr>
              <w:rPr>
                <w:rFonts w:ascii="Cambria" w:hAnsi="Cambria"/>
                <w:color w:val="000000" w:themeColor="text1"/>
                <w:lang w:val="en-US"/>
              </w:rPr>
            </w:pPr>
            <w:bookmarkStart w:id="5" w:name="_Hlk75963262"/>
          </w:p>
        </w:tc>
        <w:tc>
          <w:tcPr>
            <w:tcW w:w="9478" w:type="dxa"/>
            <w:tcBorders>
              <w:top w:val="double" w:sz="1" w:space="0" w:color="000000"/>
              <w:left w:val="nil"/>
              <w:right w:val="nil"/>
            </w:tcBorders>
            <w:shd w:val="clear" w:color="auto" w:fill="D9E1F3"/>
          </w:tcPr>
          <w:p w14:paraId="12CC2EB9" w14:textId="77777777" w:rsidR="00DA7189" w:rsidRPr="00D91C11" w:rsidRDefault="00DA7189" w:rsidP="001F00A9">
            <w:pPr>
              <w:rPr>
                <w:rFonts w:ascii="Cambria" w:hAnsi="Cambria"/>
                <w:b/>
                <w:color w:val="000000" w:themeColor="text1"/>
                <w:lang w:val="en-US"/>
              </w:rPr>
            </w:pPr>
          </w:p>
          <w:p w14:paraId="3E292262"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This document has been only prepared for general</w:t>
            </w:r>
            <w:r w:rsidRPr="00D91C11">
              <w:rPr>
                <w:rFonts w:ascii="Cambria" w:hAnsi="Cambria"/>
                <w:lang w:val="en-US"/>
              </w:rPr>
              <w:t xml:space="preserve"> </w:t>
            </w:r>
            <w:r w:rsidRPr="00D91C11">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B18E5C3" w14:textId="77777777" w:rsidR="00DA7189" w:rsidRPr="00D91C11" w:rsidRDefault="00DA7189" w:rsidP="001F00A9">
            <w:pPr>
              <w:ind w:left="68" w:right="102" w:hanging="17"/>
              <w:contextualSpacing/>
              <w:jc w:val="both"/>
              <w:rPr>
                <w:rFonts w:ascii="Cambria" w:hAnsi="Cambria" w:cs="Arial"/>
                <w:lang w:val="en-US" w:eastAsia="en-GB"/>
              </w:rPr>
            </w:pPr>
          </w:p>
          <w:p w14:paraId="153353B7"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If you have or suspect that you may have a particular problem, you should contact us or your lawyer for specific advice on the matter.</w:t>
            </w:r>
          </w:p>
          <w:p w14:paraId="6D1F6034" w14:textId="77777777" w:rsidR="00DA7189" w:rsidRPr="00D91C11" w:rsidRDefault="00DA7189" w:rsidP="001F00A9">
            <w:pPr>
              <w:ind w:left="68" w:right="102" w:hanging="17"/>
              <w:contextualSpacing/>
              <w:jc w:val="both"/>
              <w:rPr>
                <w:rFonts w:ascii="Cambria" w:hAnsi="Cambria" w:cs="Arial"/>
                <w:lang w:val="en-US" w:eastAsia="en-GB"/>
              </w:rPr>
            </w:pPr>
          </w:p>
          <w:p w14:paraId="67BAAB17" w14:textId="77777777" w:rsidR="00DA7189" w:rsidRPr="00D91C11" w:rsidRDefault="00DA7189" w:rsidP="001F00A9">
            <w:pPr>
              <w:ind w:left="68" w:right="102" w:hanging="17"/>
              <w:contextualSpacing/>
              <w:jc w:val="center"/>
              <w:rPr>
                <w:rFonts w:ascii="Cambria" w:hAnsi="Cambria" w:cs="Arial"/>
                <w:b/>
                <w:bCs/>
                <w:lang w:val="en-US" w:eastAsia="en-GB"/>
              </w:rPr>
            </w:pPr>
            <w:r w:rsidRPr="00D91C11">
              <w:rPr>
                <w:rFonts w:ascii="Cambria" w:hAnsi="Cambria" w:cs="Arial"/>
                <w:b/>
                <w:bCs/>
                <w:lang w:val="en-US" w:eastAsia="en-GB"/>
              </w:rPr>
              <w:t>ADK VIET NAM LAWYERS</w:t>
            </w:r>
          </w:p>
          <w:p w14:paraId="7F428976" w14:textId="77777777" w:rsidR="00DA7189" w:rsidRPr="00D91C11" w:rsidRDefault="00DA7189" w:rsidP="001F00A9">
            <w:pPr>
              <w:ind w:left="68" w:right="102" w:hanging="17"/>
              <w:contextualSpacing/>
              <w:jc w:val="both"/>
              <w:rPr>
                <w:rFonts w:ascii="Cambria" w:hAnsi="Cambria" w:cs="Arial"/>
                <w:b/>
                <w:bCs/>
                <w:lang w:val="en-US" w:eastAsia="en-GB"/>
              </w:rPr>
            </w:pPr>
          </w:p>
          <w:p w14:paraId="36A07A97" w14:textId="019ED435" w:rsidR="00DA7189" w:rsidRPr="00D91C11" w:rsidRDefault="00DA7189" w:rsidP="001F00A9">
            <w:pPr>
              <w:rPr>
                <w:rFonts w:ascii="Cambria" w:hAnsi="Cambria"/>
                <w:color w:val="000000"/>
                <w:lang w:val="en-US"/>
              </w:rPr>
            </w:pPr>
            <w:r w:rsidRPr="00D91C11">
              <w:rPr>
                <w:rFonts w:ascii="Cambria" w:hAnsi="Cambria"/>
                <w:b/>
                <w:bCs/>
                <w:color w:val="000000"/>
                <w:lang w:val="en-US"/>
              </w:rPr>
              <w:t xml:space="preserve"> Ho Chi Minh Office</w:t>
            </w:r>
            <w:r w:rsidRPr="00D91C11">
              <w:rPr>
                <w:rFonts w:ascii="Cambria" w:hAnsi="Cambria"/>
                <w:color w:val="000000"/>
                <w:lang w:val="en-US"/>
              </w:rPr>
              <w:t>: Ground Fl. HBT Tower, 456-458 Hai Ba Trung Str., Tan Dinh Ward, District 1,</w:t>
            </w:r>
            <w:r w:rsidR="00FD2F20" w:rsidRPr="00D91C11">
              <w:rPr>
                <w:rFonts w:ascii="Cambria" w:hAnsi="Cambria"/>
                <w:color w:val="000000"/>
                <w:lang w:val="en-US"/>
              </w:rPr>
              <w:t xml:space="preserve"> </w:t>
            </w:r>
            <w:r w:rsidRPr="00D91C11">
              <w:rPr>
                <w:rFonts w:ascii="Cambria" w:hAnsi="Cambria"/>
                <w:color w:val="000000"/>
                <w:lang w:val="en-US"/>
              </w:rPr>
              <w:t>HCM City, VN</w:t>
            </w:r>
          </w:p>
          <w:p w14:paraId="458BBD1C" w14:textId="77777777" w:rsidR="00DA7189" w:rsidRPr="00D91C11" w:rsidRDefault="00DA7189" w:rsidP="001F00A9">
            <w:pPr>
              <w:rPr>
                <w:rFonts w:ascii="Cambria" w:hAnsi="Cambria"/>
                <w:color w:val="000000"/>
                <w:lang w:val="en-US"/>
              </w:rPr>
            </w:pPr>
          </w:p>
          <w:p w14:paraId="1CE2B53D" w14:textId="1121911B" w:rsidR="00DA7189" w:rsidRPr="00D91C11" w:rsidRDefault="00DA7189" w:rsidP="001F00A9">
            <w:pPr>
              <w:rPr>
                <w:rFonts w:ascii="Cambria" w:hAnsi="Cambria"/>
                <w:lang w:val="en-US"/>
              </w:rPr>
            </w:pPr>
            <w:r w:rsidRPr="00D91C11">
              <w:rPr>
                <w:rFonts w:ascii="Cambria" w:hAnsi="Cambria"/>
                <w:b/>
                <w:bCs/>
                <w:color w:val="000000"/>
                <w:lang w:val="en-US"/>
              </w:rPr>
              <w:t xml:space="preserve"> Ha Noi Office</w:t>
            </w:r>
            <w:r w:rsidRPr="00D91C11">
              <w:rPr>
                <w:rFonts w:ascii="Cambria" w:hAnsi="Cambria"/>
                <w:color w:val="000000"/>
                <w:lang w:val="en-US"/>
              </w:rPr>
              <w:t>: </w:t>
            </w:r>
            <w:r w:rsidR="00FD2F20" w:rsidRPr="00D91C11">
              <w:rPr>
                <w:lang w:val="en-US"/>
              </w:rPr>
              <w:t xml:space="preserve"> </w:t>
            </w:r>
            <w:r w:rsidR="00FD2F20" w:rsidRPr="00D91C11">
              <w:rPr>
                <w:rFonts w:ascii="Cambria" w:hAnsi="Cambria"/>
                <w:lang w:val="en-US"/>
              </w:rPr>
              <w:t xml:space="preserve">OF-04, Level 2, Block R4, Royal City, 72A Nguyen Trai Str., Thuong Dinh Ward, Thanh Xuan District, Hanoi City, VN </w:t>
            </w:r>
            <w:r w:rsidRPr="00D91C11">
              <w:rPr>
                <w:rFonts w:ascii="Cambria" w:hAnsi="Cambria"/>
                <w:lang w:val="en-US"/>
              </w:rPr>
              <w:t>    </w:t>
            </w:r>
          </w:p>
          <w:p w14:paraId="404FA560" w14:textId="77777777" w:rsidR="00DA7189" w:rsidRPr="00D91C11" w:rsidRDefault="00DA7189" w:rsidP="001F00A9">
            <w:pPr>
              <w:rPr>
                <w:rFonts w:ascii="Cambria" w:hAnsi="Cambria"/>
                <w:color w:val="000000"/>
                <w:lang w:val="en-US"/>
              </w:rPr>
            </w:pPr>
          </w:p>
          <w:p w14:paraId="4A8820E7" w14:textId="77777777" w:rsidR="00DA7189" w:rsidRPr="00D91C11" w:rsidRDefault="00DA7189" w:rsidP="001F00A9">
            <w:pPr>
              <w:pStyle w:val="ListParagraph"/>
              <w:ind w:left="0"/>
              <w:jc w:val="both"/>
              <w:rPr>
                <w:rFonts w:ascii="Cambria" w:hAnsi="Cambria" w:cs="Arial"/>
                <w:lang w:val="en-US" w:eastAsia="en-GB"/>
              </w:rPr>
            </w:pPr>
            <w:r w:rsidRPr="00D91C11">
              <w:rPr>
                <w:rFonts w:ascii="Cambria" w:hAnsi="Cambria" w:cs="Arial"/>
                <w:lang w:val="en-US" w:eastAsia="en-GB"/>
              </w:rPr>
              <w:t>Hotline Telephone: (+84) 28 66 79 79 66 or (+84) 939 107 387</w:t>
            </w:r>
          </w:p>
          <w:p w14:paraId="63630D44" w14:textId="77777777" w:rsidR="00DA7189" w:rsidRPr="00D91C11" w:rsidRDefault="00DA7189" w:rsidP="001F00A9">
            <w:pPr>
              <w:pStyle w:val="ListParagraph"/>
              <w:ind w:left="0"/>
              <w:jc w:val="both"/>
              <w:rPr>
                <w:rFonts w:ascii="Cambria" w:hAnsi="Cambria" w:cs="Arial"/>
                <w:lang w:val="en-US" w:eastAsia="en-GB"/>
              </w:rPr>
            </w:pPr>
          </w:p>
          <w:p w14:paraId="6A00D140" w14:textId="77777777" w:rsidR="00DA7189" w:rsidRPr="00D91C11" w:rsidRDefault="00DA7189" w:rsidP="001F00A9">
            <w:pPr>
              <w:ind w:left="68" w:right="102" w:hanging="17"/>
              <w:contextualSpacing/>
              <w:jc w:val="both"/>
              <w:rPr>
                <w:rFonts w:ascii="Cambria" w:hAnsi="Cambria" w:cs="Arial"/>
                <w:color w:val="0000FF"/>
                <w:u w:val="single"/>
                <w:lang w:val="en-US" w:eastAsia="en-GB"/>
              </w:rPr>
            </w:pPr>
            <w:r w:rsidRPr="00D91C11">
              <w:rPr>
                <w:rFonts w:ascii="Cambria" w:hAnsi="Cambria" w:cs="Arial"/>
                <w:lang w:val="en-US" w:eastAsia="en-GB"/>
              </w:rPr>
              <w:t xml:space="preserve">Email: </w:t>
            </w:r>
            <w:hyperlink r:id="rId10" w:history="1">
              <w:r w:rsidRPr="00D91C11">
                <w:rPr>
                  <w:rFonts w:ascii="Cambria" w:hAnsi="Cambria" w:cs="Arial"/>
                  <w:color w:val="0000FF"/>
                  <w:u w:val="single"/>
                  <w:lang w:val="en-US" w:eastAsia="en-GB"/>
                </w:rPr>
                <w:t>info@adk-lawyers.com</w:t>
              </w:r>
            </w:hyperlink>
          </w:p>
          <w:p w14:paraId="3C688580"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W</w:t>
            </w:r>
            <w:r w:rsidRPr="00D91C11">
              <w:rPr>
                <w:rFonts w:ascii="Cambria" w:hAnsi="Cambria" w:cs="Arial"/>
                <w:lang w:val="en-US"/>
              </w:rPr>
              <w:t xml:space="preserve">ebsite: </w:t>
            </w:r>
            <w:hyperlink r:id="rId11" w:history="1">
              <w:r w:rsidRPr="00D91C11">
                <w:rPr>
                  <w:rFonts w:ascii="Cambria" w:hAnsi="Cambria" w:cs="Arial"/>
                  <w:color w:val="0000FF"/>
                  <w:u w:val="single"/>
                  <w:lang w:val="en-US"/>
                </w:rPr>
                <w:t>www.adk-lawyers.com</w:t>
              </w:r>
            </w:hyperlink>
            <w:r w:rsidRPr="00D91C11">
              <w:rPr>
                <w:rFonts w:ascii="Cambria" w:hAnsi="Cambria" w:cs="Arial"/>
                <w:lang w:val="en-US"/>
              </w:rPr>
              <w:t xml:space="preserve">  </w:t>
            </w:r>
          </w:p>
          <w:p w14:paraId="10D66601" w14:textId="77777777" w:rsidR="00DA7189" w:rsidRPr="00D91C11" w:rsidRDefault="00DA7189" w:rsidP="001F00A9">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0C13FA6D" w14:textId="77777777" w:rsidR="00DA7189" w:rsidRPr="00D91C11" w:rsidRDefault="00DA7189" w:rsidP="001F00A9">
            <w:pPr>
              <w:rPr>
                <w:rFonts w:ascii="Cambria" w:hAnsi="Cambria"/>
                <w:color w:val="000000" w:themeColor="text1"/>
                <w:lang w:val="en-US"/>
              </w:rPr>
            </w:pPr>
          </w:p>
        </w:tc>
      </w:tr>
      <w:bookmarkEnd w:id="5"/>
    </w:tbl>
    <w:p w14:paraId="54E70FD5" w14:textId="77777777" w:rsidR="00DA7189" w:rsidRPr="00D91C11" w:rsidRDefault="00DA7189" w:rsidP="001F00A9">
      <w:pPr>
        <w:rPr>
          <w:rFonts w:ascii="Cambria" w:hAnsi="Cambria"/>
          <w:lang w:val="en-US"/>
        </w:rPr>
      </w:pPr>
    </w:p>
    <w:sectPr w:rsidR="00DA7189" w:rsidRPr="00D91C11" w:rsidSect="00FF69E8">
      <w:headerReference w:type="default" r:id="rId12"/>
      <w:foot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F23F" w14:textId="77777777" w:rsidR="007B6153" w:rsidRDefault="007B6153">
      <w:r>
        <w:separator/>
      </w:r>
    </w:p>
  </w:endnote>
  <w:endnote w:type="continuationSeparator" w:id="0">
    <w:p w14:paraId="7BD94339" w14:textId="77777777" w:rsidR="007B6153" w:rsidRDefault="007B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A1D" w14:textId="77777777" w:rsidR="00FF69E8"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FF69E8" w:rsidRPr="00961B42" w:rsidRDefault="00000000"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E482" w14:textId="77777777" w:rsidR="007B6153" w:rsidRDefault="007B6153">
      <w:r>
        <w:separator/>
      </w:r>
    </w:p>
  </w:footnote>
  <w:footnote w:type="continuationSeparator" w:id="0">
    <w:p w14:paraId="1A86EEFE" w14:textId="77777777" w:rsidR="007B6153" w:rsidRDefault="007B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BCF" w14:textId="77777777" w:rsidR="00FF69E8"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79"/>
    <w:multiLevelType w:val="hybridMultilevel"/>
    <w:tmpl w:val="93048240"/>
    <w:lvl w:ilvl="0" w:tplc="23CA82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0BDC2534"/>
    <w:multiLevelType w:val="hybridMultilevel"/>
    <w:tmpl w:val="BB589D36"/>
    <w:lvl w:ilvl="0" w:tplc="BA165072">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04000A5"/>
    <w:multiLevelType w:val="hybridMultilevel"/>
    <w:tmpl w:val="79540314"/>
    <w:lvl w:ilvl="0" w:tplc="3ED6FDB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25322956"/>
    <w:multiLevelType w:val="hybridMultilevel"/>
    <w:tmpl w:val="6152F140"/>
    <w:lvl w:ilvl="0" w:tplc="D47C22D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3"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4"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90299F"/>
    <w:multiLevelType w:val="hybridMultilevel"/>
    <w:tmpl w:val="7954031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853786"/>
    <w:multiLevelType w:val="hybridMultilevel"/>
    <w:tmpl w:val="B1D0EE6E"/>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15:restartNumberingAfterBreak="0">
    <w:nsid w:val="49475FE4"/>
    <w:multiLevelType w:val="hybridMultilevel"/>
    <w:tmpl w:val="7782258A"/>
    <w:lvl w:ilvl="0" w:tplc="5D723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74C4574C"/>
    <w:multiLevelType w:val="hybridMultilevel"/>
    <w:tmpl w:val="7BAAAD92"/>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8586281">
    <w:abstractNumId w:val="13"/>
  </w:num>
  <w:num w:numId="2" w16cid:durableId="97912061">
    <w:abstractNumId w:val="7"/>
  </w:num>
  <w:num w:numId="3" w16cid:durableId="778181001">
    <w:abstractNumId w:val="21"/>
  </w:num>
  <w:num w:numId="4" w16cid:durableId="349987111">
    <w:abstractNumId w:val="5"/>
  </w:num>
  <w:num w:numId="5" w16cid:durableId="1740711994">
    <w:abstractNumId w:val="11"/>
  </w:num>
  <w:num w:numId="6" w16cid:durableId="2006004925">
    <w:abstractNumId w:val="9"/>
  </w:num>
  <w:num w:numId="7" w16cid:durableId="1014958334">
    <w:abstractNumId w:val="14"/>
  </w:num>
  <w:num w:numId="8" w16cid:durableId="789399544">
    <w:abstractNumId w:val="19"/>
  </w:num>
  <w:num w:numId="9" w16cid:durableId="13961095">
    <w:abstractNumId w:val="12"/>
  </w:num>
  <w:num w:numId="10" w16cid:durableId="1242329604">
    <w:abstractNumId w:val="1"/>
  </w:num>
  <w:num w:numId="11" w16cid:durableId="882713502">
    <w:abstractNumId w:val="17"/>
  </w:num>
  <w:num w:numId="12" w16cid:durableId="124322195">
    <w:abstractNumId w:val="10"/>
  </w:num>
  <w:num w:numId="13" w16cid:durableId="1334648811">
    <w:abstractNumId w:val="4"/>
  </w:num>
  <w:num w:numId="14" w16cid:durableId="661812487">
    <w:abstractNumId w:val="22"/>
  </w:num>
  <w:num w:numId="15" w16cid:durableId="1729844426">
    <w:abstractNumId w:val="2"/>
  </w:num>
  <w:num w:numId="16" w16cid:durableId="820580463">
    <w:abstractNumId w:val="20"/>
  </w:num>
  <w:num w:numId="17" w16cid:durableId="1657108323">
    <w:abstractNumId w:val="6"/>
  </w:num>
  <w:num w:numId="18" w16cid:durableId="1768691813">
    <w:abstractNumId w:val="15"/>
  </w:num>
  <w:num w:numId="19" w16cid:durableId="1392078095">
    <w:abstractNumId w:val="16"/>
  </w:num>
  <w:num w:numId="20" w16cid:durableId="665865407">
    <w:abstractNumId w:val="3"/>
  </w:num>
  <w:num w:numId="21" w16cid:durableId="1979070340">
    <w:abstractNumId w:val="23"/>
  </w:num>
  <w:num w:numId="22" w16cid:durableId="55592190">
    <w:abstractNumId w:val="0"/>
  </w:num>
  <w:num w:numId="23" w16cid:durableId="399789302">
    <w:abstractNumId w:val="8"/>
  </w:num>
  <w:num w:numId="24" w16cid:durableId="99368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5"/>
    <w:rsid w:val="00000085"/>
    <w:rsid w:val="00003775"/>
    <w:rsid w:val="00096FBE"/>
    <w:rsid w:val="00110A32"/>
    <w:rsid w:val="00150D27"/>
    <w:rsid w:val="001B4A44"/>
    <w:rsid w:val="001E6E8E"/>
    <w:rsid w:val="001F00A9"/>
    <w:rsid w:val="002373E4"/>
    <w:rsid w:val="002501BC"/>
    <w:rsid w:val="00296C50"/>
    <w:rsid w:val="002B70D3"/>
    <w:rsid w:val="00346318"/>
    <w:rsid w:val="00346620"/>
    <w:rsid w:val="003E7697"/>
    <w:rsid w:val="00436FC4"/>
    <w:rsid w:val="004C3DEF"/>
    <w:rsid w:val="00500755"/>
    <w:rsid w:val="00564A66"/>
    <w:rsid w:val="005827A0"/>
    <w:rsid w:val="005A18C9"/>
    <w:rsid w:val="005B76BD"/>
    <w:rsid w:val="005C29F6"/>
    <w:rsid w:val="005D37AD"/>
    <w:rsid w:val="006264FD"/>
    <w:rsid w:val="006F0F0E"/>
    <w:rsid w:val="00764D91"/>
    <w:rsid w:val="0076702D"/>
    <w:rsid w:val="007B4FCF"/>
    <w:rsid w:val="007B6153"/>
    <w:rsid w:val="007F2F2C"/>
    <w:rsid w:val="008639F6"/>
    <w:rsid w:val="0086402C"/>
    <w:rsid w:val="00892FFE"/>
    <w:rsid w:val="008F27E9"/>
    <w:rsid w:val="00905DF4"/>
    <w:rsid w:val="00916EC2"/>
    <w:rsid w:val="00964E19"/>
    <w:rsid w:val="009E0F70"/>
    <w:rsid w:val="009E1789"/>
    <w:rsid w:val="00A06DCA"/>
    <w:rsid w:val="00A17C51"/>
    <w:rsid w:val="00A40283"/>
    <w:rsid w:val="00A94BEE"/>
    <w:rsid w:val="00B22539"/>
    <w:rsid w:val="00B72BEA"/>
    <w:rsid w:val="00C0515A"/>
    <w:rsid w:val="00C70FCC"/>
    <w:rsid w:val="00C874B5"/>
    <w:rsid w:val="00D841AB"/>
    <w:rsid w:val="00D9099F"/>
    <w:rsid w:val="00D91C11"/>
    <w:rsid w:val="00D93ED8"/>
    <w:rsid w:val="00DA7189"/>
    <w:rsid w:val="00E405BB"/>
    <w:rsid w:val="00EC4448"/>
    <w:rsid w:val="00F559F9"/>
    <w:rsid w:val="00FD2F20"/>
    <w:rsid w:val="00FF47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83"/>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 w:type="character" w:styleId="FollowedHyperlink">
    <w:name w:val="FollowedHyperlink"/>
    <w:basedOn w:val="DefaultParagraphFont"/>
    <w:uiPriority w:val="99"/>
    <w:semiHidden/>
    <w:unhideWhenUsed/>
    <w:rsid w:val="00FD2F20"/>
    <w:rPr>
      <w:color w:val="954F72" w:themeColor="followedHyperlink"/>
      <w:u w:val="single"/>
    </w:rPr>
  </w:style>
  <w:style w:type="character" w:styleId="UnresolvedMention">
    <w:name w:val="Unresolved Mention"/>
    <w:basedOn w:val="DefaultParagraphFont"/>
    <w:uiPriority w:val="99"/>
    <w:semiHidden/>
    <w:unhideWhenUsed/>
    <w:rsid w:val="00FD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k-lawy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adk-lawyers.com" TargetMode="External"/><Relationship Id="rId4" Type="http://schemas.openxmlformats.org/officeDocument/2006/relationships/styles" Target="styles.xml"/><Relationship Id="rId9" Type="http://schemas.openxmlformats.org/officeDocument/2006/relationships/hyperlink" Target="https://adk-lawyers.com/en/notable-legal-matters-for-share-swap-deal-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6" ma:contentTypeDescription="Create a new document." ma:contentTypeScope="" ma:versionID="c971a3b5488c06bfc3274e6a345624f0">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37d9960ca23b9b016508809c7a8e8d68"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22F1-5F04-4B24-B337-B366BEF9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3802-DA25-4B74-A0F8-E7A44197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20</cp:revision>
  <dcterms:created xsi:type="dcterms:W3CDTF">2022-09-05T02:15:00Z</dcterms:created>
  <dcterms:modified xsi:type="dcterms:W3CDTF">2023-02-13T12:01:00Z</dcterms:modified>
</cp:coreProperties>
</file>