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5D52F2" w14:textId="4AA63520" w:rsidR="008A20CE" w:rsidRPr="00A33E55" w:rsidRDefault="00986E67" w:rsidP="00C5147E">
      <w:pPr>
        <w:spacing w:after="0" w:line="240" w:lineRule="auto"/>
        <w:rPr>
          <w:rFonts w:ascii="Arial" w:hAnsi="Arial" w:cs="Arial"/>
          <w:b/>
          <w:color w:val="C00000"/>
          <w:sz w:val="20"/>
          <w:szCs w:val="20"/>
        </w:rPr>
      </w:pPr>
      <w:r w:rsidRPr="00A33E55">
        <w:rPr>
          <w:rFonts w:ascii="Arial" w:hAnsi="Arial" w:cs="Arial"/>
          <w:bCs/>
          <w:noProof/>
          <w:color w:val="C00000"/>
          <w:sz w:val="20"/>
          <w:szCs w:val="20"/>
          <w:lang w:eastAsia="ko-KR"/>
        </w:rPr>
        <mc:AlternateContent>
          <mc:Choice Requires="wps">
            <w:drawing>
              <wp:anchor distT="0" distB="0" distL="114300" distR="114300" simplePos="0" relativeHeight="251661312" behindDoc="0" locked="0" layoutInCell="1" allowOverlap="1" wp14:anchorId="6283BC38" wp14:editId="76BACEB7">
                <wp:simplePos x="0" y="0"/>
                <wp:positionH relativeFrom="page">
                  <wp:posOffset>7141210</wp:posOffset>
                </wp:positionH>
                <wp:positionV relativeFrom="paragraph">
                  <wp:posOffset>-205740</wp:posOffset>
                </wp:positionV>
                <wp:extent cx="3086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BF0D56" w14:textId="226A8B33" w:rsidR="00E93403" w:rsidRPr="00BA68B8" w:rsidRDefault="00255160" w:rsidP="00E93403">
                            <w:pPr>
                              <w:spacing w:after="0" w:line="240" w:lineRule="auto"/>
                              <w:rPr>
                                <w:rFonts w:ascii="Arial" w:hAnsi="Arial" w:cs="Arial"/>
                                <w:b/>
                                <w:color w:val="FFFFFF" w:themeColor="background1"/>
                                <w:sz w:val="20"/>
                                <w:szCs w:val="20"/>
                              </w:rPr>
                            </w:pPr>
                            <w:r w:rsidRPr="00255160">
                              <w:rPr>
                                <w:rFonts w:ascii="Arial" w:hAnsi="Arial" w:cs="Arial"/>
                                <w:b/>
                                <w:color w:val="FFFFFF" w:themeColor="background1"/>
                                <w:sz w:val="20"/>
                                <w:szCs w:val="20"/>
                              </w:rPr>
                              <w:t>Xâm phạm quyền Sở hữu trí tuệ</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3BC38" id="Rectangle 7" o:spid="_x0000_s1026" style="position:absolute;margin-left:562.3pt;margin-top:-16.2pt;width:24.3pt;height:813.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" fillcolor="#00b39c" strokecolor="#00b39c" strokeweight="0">
                <v:textbox style="layout-flow:vertical" inset=",1.3mm,1.3mm">
                  <w:txbxContent>
                    <w:p w14:paraId="53BF0D56" w14:textId="226A8B33" w:rsidR="00E93403" w:rsidRPr="00BA68B8" w:rsidRDefault="00255160" w:rsidP="00E93403">
                      <w:pPr>
                        <w:spacing w:after="0" w:line="240" w:lineRule="auto"/>
                        <w:rPr>
                          <w:rFonts w:ascii="Arial" w:hAnsi="Arial" w:cs="Arial"/>
                          <w:b/>
                          <w:color w:val="FFFFFF" w:themeColor="background1"/>
                          <w:sz w:val="20"/>
                          <w:szCs w:val="20"/>
                        </w:rPr>
                      </w:pPr>
                      <w:r w:rsidRPr="00255160">
                        <w:rPr>
                          <w:rFonts w:ascii="Arial" w:hAnsi="Arial" w:cs="Arial"/>
                          <w:b/>
                          <w:color w:val="FFFFFF" w:themeColor="background1"/>
                          <w:sz w:val="20"/>
                          <w:szCs w:val="20"/>
                        </w:rPr>
                        <w:t>Xâm phạm quyền Sở hữu trí tuệ</w:t>
                      </w:r>
                    </w:p>
                  </w:txbxContent>
                </v:textbox>
                <w10:wrap anchorx="page"/>
              </v:rect>
            </w:pict>
          </mc:Fallback>
        </mc:AlternateContent>
      </w:r>
      <w:r w:rsidR="00216422" w:rsidRPr="00A33E55">
        <w:rPr>
          <w:rFonts w:ascii="Arial" w:hAnsi="Arial" w:cs="Arial"/>
          <w:bCs/>
          <w:noProof/>
          <w:color w:val="C00000"/>
          <w:sz w:val="20"/>
          <w:szCs w:val="20"/>
          <w:lang w:eastAsia="ko-KR"/>
        </w:rPr>
        <mc:AlternateContent>
          <mc:Choice Requires="wps">
            <w:drawing>
              <wp:anchor distT="0" distB="0" distL="114300" distR="114300" simplePos="0" relativeHeight="251659264" behindDoc="0" locked="0" layoutInCell="1" allowOverlap="1" wp14:anchorId="7B6E777D" wp14:editId="6D188FF3">
                <wp:simplePos x="0" y="0"/>
                <wp:positionH relativeFrom="page">
                  <wp:posOffset>161925</wp:posOffset>
                </wp:positionH>
                <wp:positionV relativeFrom="paragraph">
                  <wp:posOffset>-393065</wp:posOffset>
                </wp:positionV>
                <wp:extent cx="3975100" cy="295275"/>
                <wp:effectExtent l="0" t="0" r="25400" b="28575"/>
                <wp:wrapNone/>
                <wp:docPr id="14" name="Rectangle 14"/>
                <wp:cNvGraphicFramePr/>
                <a:graphic xmlns:a="http://schemas.openxmlformats.org/drawingml/2006/main">
                  <a:graphicData uri="http://schemas.microsoft.com/office/word/2010/wordprocessingShape">
                    <wps:wsp>
                      <wps:cNvSpPr/>
                      <wps:spPr>
                        <a:xfrm>
                          <a:off x="0" y="0"/>
                          <a:ext cx="3975100" cy="295275"/>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4F0151F5" w14:textId="20FD5B3A" w:rsidR="00216422" w:rsidRPr="00CC7576" w:rsidRDefault="00255160" w:rsidP="00216422">
                            <w:pPr>
                              <w:spacing w:after="0"/>
                              <w:jc w:val="center"/>
                              <w:rPr>
                                <w:rFonts w:ascii="Arial" w:hAnsi="Arial" w:cs="Arial"/>
                                <w:b/>
                                <w:color w:val="FFFFFF" w:themeColor="background1"/>
                                <w:sz w:val="20"/>
                                <w:szCs w:val="20"/>
                              </w:rPr>
                            </w:pPr>
                            <w:r>
                              <w:rPr>
                                <w:rFonts w:ascii="Arial" w:hAnsi="Arial" w:cs="Arial"/>
                                <w:b/>
                                <w:color w:val="FFFFFF" w:themeColor="background1"/>
                                <w:sz w:val="20"/>
                                <w:szCs w:val="20"/>
                              </w:rPr>
                              <w:t>Xâm phạm quyền Sở hữu trí tuệ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E777D" id="Rectangle 14" o:spid="_x0000_s1027" style="position:absolute;margin-left:12.75pt;margin-top:-30.95pt;width:313pt;height:23.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" fillcolor="#f56b2e" strokecolor="#f56b2e" strokeweight="1pt">
                <v:textbox>
                  <w:txbxContent>
                    <w:p w14:paraId="4F0151F5" w14:textId="20FD5B3A" w:rsidR="00216422" w:rsidRPr="00CC7576" w:rsidRDefault="00255160" w:rsidP="00216422">
                      <w:pPr>
                        <w:spacing w:after="0"/>
                        <w:jc w:val="center"/>
                        <w:rPr>
                          <w:rFonts w:ascii="Arial" w:hAnsi="Arial" w:cs="Arial"/>
                          <w:b/>
                          <w:color w:val="FFFFFF" w:themeColor="background1"/>
                          <w:sz w:val="20"/>
                          <w:szCs w:val="20"/>
                        </w:rPr>
                      </w:pPr>
                      <w:r>
                        <w:rPr>
                          <w:rFonts w:ascii="Arial" w:hAnsi="Arial" w:cs="Arial"/>
                          <w:b/>
                          <w:color w:val="FFFFFF" w:themeColor="background1"/>
                          <w:sz w:val="20"/>
                          <w:szCs w:val="20"/>
                        </w:rPr>
                        <w:t>Xâm phạm quyền Sở hữu trí tuệ</w:t>
                      </w:r>
                    </w:p>
                  </w:txbxContent>
                </v:textbox>
                <w10:wrap anchorx="page"/>
              </v:rect>
            </w:pict>
          </mc:Fallback>
        </mc:AlternateContent>
      </w:r>
    </w:p>
    <w:p w14:paraId="20347F0E" w14:textId="575AA74B" w:rsidR="00742A2F" w:rsidRPr="00A33E55" w:rsidRDefault="00742A2F" w:rsidP="000B6856">
      <w:pPr>
        <w:spacing w:after="0" w:line="240" w:lineRule="auto"/>
        <w:rPr>
          <w:rFonts w:ascii="Arial" w:eastAsia="Times New Roman" w:hAnsi="Arial" w:cs="Arial"/>
          <w:sz w:val="20"/>
          <w:szCs w:val="20"/>
        </w:rPr>
      </w:pPr>
      <w:bookmarkStart w:id="0" w:name="_Hlk110501394"/>
      <w:bookmarkStart w:id="1" w:name="_Hlk110501351"/>
    </w:p>
    <w:p w14:paraId="71D10CFC" w14:textId="77777777" w:rsidR="0040143C" w:rsidRDefault="00A33E55" w:rsidP="00A33E55">
      <w:pPr>
        <w:spacing w:after="0" w:line="240" w:lineRule="auto"/>
        <w:jc w:val="center"/>
        <w:rPr>
          <w:rFonts w:ascii="Arial" w:eastAsiaTheme="majorEastAsia" w:hAnsi="Arial" w:cs="Arial"/>
          <w:b/>
          <w:bCs/>
          <w:color w:val="C00000"/>
        </w:rPr>
      </w:pPr>
      <w:r w:rsidRPr="0040143C">
        <w:rPr>
          <w:rFonts w:ascii="Arial" w:eastAsiaTheme="majorEastAsia" w:hAnsi="Arial" w:cs="Arial"/>
          <w:b/>
          <w:bCs/>
          <w:color w:val="C00000"/>
        </w:rPr>
        <w:t xml:space="preserve">Sàn giao dịch thương mại điện tử có phải chịu trách nhiệm pháp lý về </w:t>
      </w:r>
    </w:p>
    <w:p w14:paraId="08B5B33D" w14:textId="4C40ED01" w:rsidR="003E509C" w:rsidRPr="0040143C" w:rsidRDefault="00A33E55" w:rsidP="00A33E55">
      <w:pPr>
        <w:spacing w:after="0" w:line="240" w:lineRule="auto"/>
        <w:jc w:val="center"/>
        <w:rPr>
          <w:rFonts w:ascii="Arial" w:hAnsi="Arial" w:cs="Arial"/>
        </w:rPr>
      </w:pPr>
      <w:r w:rsidRPr="0040143C">
        <w:rPr>
          <w:rFonts w:ascii="Arial" w:eastAsiaTheme="majorEastAsia" w:hAnsi="Arial" w:cs="Arial"/>
          <w:b/>
          <w:bCs/>
          <w:color w:val="C00000"/>
        </w:rPr>
        <w:t>xâm phạm Sở hữu Trí tuệ?</w:t>
      </w:r>
    </w:p>
    <w:p w14:paraId="6136A3FA" w14:textId="77777777" w:rsidR="003E509C" w:rsidRPr="00A33E55" w:rsidRDefault="003E509C" w:rsidP="003E509C">
      <w:pPr>
        <w:spacing w:after="0" w:line="240" w:lineRule="auto"/>
        <w:jc w:val="both"/>
        <w:rPr>
          <w:rFonts w:ascii="Arial" w:hAnsi="Arial" w:cs="Arial"/>
          <w:sz w:val="20"/>
          <w:szCs w:val="20"/>
        </w:rPr>
      </w:pPr>
    </w:p>
    <w:p w14:paraId="3D58D316" w14:textId="77777777" w:rsidR="00A33E55" w:rsidRPr="00A33E55" w:rsidRDefault="00A33E55" w:rsidP="00A33E55">
      <w:pPr>
        <w:jc w:val="both"/>
        <w:rPr>
          <w:rFonts w:ascii="Arial" w:hAnsi="Arial" w:cs="Arial"/>
          <w:sz w:val="20"/>
          <w:szCs w:val="20"/>
        </w:rPr>
      </w:pPr>
    </w:p>
    <w:p w14:paraId="03256CB0" w14:textId="3754AFE1" w:rsidR="00A33E55" w:rsidRPr="00A33E55" w:rsidRDefault="00A33E55" w:rsidP="00A33E55">
      <w:pPr>
        <w:jc w:val="both"/>
        <w:rPr>
          <w:rFonts w:ascii="Arial" w:hAnsi="Arial" w:cs="Arial"/>
          <w:sz w:val="20"/>
          <w:szCs w:val="20"/>
        </w:rPr>
      </w:pPr>
      <w:r w:rsidRPr="00A33E55">
        <w:rPr>
          <w:rFonts w:ascii="Arial" w:hAnsi="Arial" w:cs="Arial"/>
          <w:sz w:val="20"/>
          <w:szCs w:val="20"/>
        </w:rPr>
        <w:t>Theo quyết định ngày 22 tháng 12 năm 2022, các vụ kiện C-148/21 và C-184/21 giữa Christian Louboutin và Amazon Europe Core Sàrl et đã được Tòa án Công lý Liên minh Châu Âu ("</w:t>
      </w:r>
      <w:r w:rsidRPr="00A33E55">
        <w:rPr>
          <w:rFonts w:ascii="Arial" w:hAnsi="Arial" w:cs="Arial"/>
          <w:b/>
          <w:sz w:val="20"/>
          <w:szCs w:val="20"/>
        </w:rPr>
        <w:t>CJEU</w:t>
      </w:r>
      <w:r w:rsidRPr="00A33E55">
        <w:rPr>
          <w:rFonts w:ascii="Arial" w:hAnsi="Arial" w:cs="Arial"/>
          <w:sz w:val="20"/>
          <w:szCs w:val="20"/>
        </w:rPr>
        <w:t>") đưa ra phán quyết sơ bộ về yêu cầu của Tòa án Quận Luxembourg và Tòa Kinh tế Brussels (</w:t>
      </w:r>
      <w:r w:rsidRPr="00A33E55">
        <w:rPr>
          <w:rFonts w:ascii="Arial" w:hAnsi="Arial" w:cs="Arial"/>
          <w:b/>
          <w:sz w:val="20"/>
          <w:szCs w:val="20"/>
        </w:rPr>
        <w:t>các Toà án chuyên trách</w:t>
      </w:r>
      <w:r w:rsidRPr="00A33E55">
        <w:rPr>
          <w:rFonts w:ascii="Arial" w:hAnsi="Arial" w:cs="Arial"/>
          <w:sz w:val="20"/>
          <w:szCs w:val="20"/>
        </w:rPr>
        <w:t>), trong đó các Tòa án trên đã yêu cầu CJEU giải thích về việc liệu Điều 9(2)(a) của Quy định (EU) 2017/1001 ("</w:t>
      </w:r>
      <w:r w:rsidRPr="00A33E55">
        <w:rPr>
          <w:rFonts w:ascii="Arial" w:hAnsi="Arial" w:cs="Arial"/>
          <w:b/>
          <w:sz w:val="20"/>
          <w:szCs w:val="20"/>
        </w:rPr>
        <w:t>Quy định về nhãn hiệu của Châu Âu</w:t>
      </w:r>
      <w:r w:rsidRPr="00A33E55">
        <w:rPr>
          <w:rFonts w:ascii="Arial" w:hAnsi="Arial" w:cs="Arial"/>
          <w:sz w:val="20"/>
          <w:szCs w:val="20"/>
        </w:rPr>
        <w:t>”) cần phải được hiểu rằng bất kỳ ai điều hành một thị trường mua bán trực tuyến, ngoài bán các sản phẩm của mình, mà tích hợp hoạt động bán hàng của bên thứ</w:t>
      </w:r>
      <w:r w:rsidR="00FD2150">
        <w:rPr>
          <w:rFonts w:ascii="Arial" w:hAnsi="Arial" w:cs="Arial"/>
          <w:sz w:val="20"/>
          <w:szCs w:val="20"/>
        </w:rPr>
        <w:t xml:space="preserve"> </w:t>
      </w:r>
      <w:r w:rsidRPr="00A33E55">
        <w:rPr>
          <w:rFonts w:ascii="Arial" w:hAnsi="Arial" w:cs="Arial"/>
          <w:sz w:val="20"/>
          <w:szCs w:val="20"/>
        </w:rPr>
        <w:t xml:space="preserve"> ba thì có khả năng bị coi là xâm phạm quyền đối với nhãn hiệu đăng ký tại Liên minh Châu Âu ("</w:t>
      </w:r>
      <w:r w:rsidRPr="00A33E55">
        <w:rPr>
          <w:rFonts w:ascii="Arial" w:hAnsi="Arial" w:cs="Arial"/>
          <w:b/>
          <w:sz w:val="20"/>
          <w:szCs w:val="20"/>
        </w:rPr>
        <w:t>EUTM</w:t>
      </w:r>
      <w:r w:rsidRPr="00A33E55">
        <w:rPr>
          <w:rFonts w:ascii="Arial" w:hAnsi="Arial" w:cs="Arial"/>
          <w:sz w:val="20"/>
          <w:szCs w:val="20"/>
        </w:rPr>
        <w:t xml:space="preserve">") hay không; mặc dù người bán sản phẩm giả mạo trên </w:t>
      </w:r>
      <w:r w:rsidRPr="00A33E55">
        <w:rPr>
          <w:rFonts w:ascii="Arial" w:hAnsi="Arial" w:cs="Arial"/>
          <w:sz w:val="20"/>
          <w:szCs w:val="20"/>
          <w:lang w:val="vi-VN"/>
        </w:rPr>
        <w:t>nền tảng trực tuyến</w:t>
      </w:r>
      <w:r w:rsidRPr="00A33E55">
        <w:rPr>
          <w:rFonts w:ascii="Arial" w:hAnsi="Arial" w:cs="Arial"/>
          <w:sz w:val="20"/>
          <w:szCs w:val="20"/>
        </w:rPr>
        <w:t xml:space="preserve"> là bên thứ ba.</w:t>
      </w:r>
    </w:p>
    <w:p w14:paraId="70C5D81F" w14:textId="71AFD693" w:rsidR="00A33E55" w:rsidRPr="0040143C" w:rsidRDefault="00A33E55" w:rsidP="00A33E55">
      <w:pPr>
        <w:jc w:val="both"/>
        <w:rPr>
          <w:rFonts w:ascii="Arial" w:hAnsi="Arial" w:cs="Arial"/>
          <w:b/>
          <w:color w:val="2F5496"/>
          <w:sz w:val="20"/>
          <w:szCs w:val="20"/>
        </w:rPr>
      </w:pPr>
      <w:r w:rsidRPr="0040143C">
        <w:rPr>
          <w:rFonts w:ascii="Arial" w:hAnsi="Arial" w:cs="Arial"/>
          <w:b/>
          <w:color w:val="2F5496"/>
          <w:sz w:val="20"/>
          <w:szCs w:val="20"/>
        </w:rPr>
        <w:t>Bối cảnh</w:t>
      </w:r>
    </w:p>
    <w:p w14:paraId="50E0067B" w14:textId="5BBBA00A" w:rsidR="00A33E55" w:rsidRPr="00A33E55" w:rsidRDefault="00A33E55" w:rsidP="00A33E55">
      <w:pPr>
        <w:jc w:val="both"/>
        <w:rPr>
          <w:rFonts w:ascii="Arial" w:hAnsi="Arial" w:cs="Arial"/>
          <w:sz w:val="20"/>
          <w:szCs w:val="20"/>
        </w:rPr>
      </w:pPr>
      <w:r w:rsidRPr="00A33E55">
        <w:rPr>
          <w:rFonts w:ascii="Arial" w:hAnsi="Arial" w:cs="Arial"/>
          <w:sz w:val="20"/>
          <w:szCs w:val="20"/>
        </w:rPr>
        <w:t>Vào ngày 19 tháng 9 năm 2019 và ngày 4 tháng 10 năm 2019, Christian Louboutin đã</w:t>
      </w:r>
      <w:r w:rsidRPr="006E100A">
        <w:rPr>
          <w:rFonts w:ascii="Arial" w:hAnsi="Arial" w:cs="Arial"/>
          <w:sz w:val="20"/>
          <w:szCs w:val="20"/>
        </w:rPr>
        <w:t xml:space="preserve"> tiến hành khởi kiện </w:t>
      </w:r>
      <w:r w:rsidRPr="00A33E55">
        <w:rPr>
          <w:rFonts w:ascii="Arial" w:hAnsi="Arial" w:cs="Arial"/>
          <w:sz w:val="20"/>
          <w:szCs w:val="20"/>
        </w:rPr>
        <w:t>Amazon Europe Core Sàrl et ("Amazon") lên các Toà án chuyên trách, trong đó thương hiệu này tuyên bố rằng Amazon phải chịu trách nhiệm pháp lý đối với hành vi vi phạm do sử dụng nhãn hiệu “Chinese red” đã đăng ký độc quyền tại Liên minh Châu Âu , nhãn hiệu này đã trở thành đặc điểm nhận dạng thương hiệu Christian Louboutin và đã đượ</w:t>
      </w:r>
      <w:r w:rsidR="00DE6148">
        <w:rPr>
          <w:rFonts w:ascii="Arial" w:hAnsi="Arial" w:cs="Arial"/>
          <w:sz w:val="20"/>
          <w:szCs w:val="20"/>
        </w:rPr>
        <w:t xml:space="preserve"> </w:t>
      </w:r>
      <w:r w:rsidRPr="00A33E55">
        <w:rPr>
          <w:rFonts w:ascii="Arial" w:hAnsi="Arial" w:cs="Arial"/>
          <w:sz w:val="20"/>
          <w:szCs w:val="20"/>
        </w:rPr>
        <w:t>c đăng ký như một nhãn hiệu Liên minh Châu Âu kể từ ngày 10 tháng 5 năm 2016.</w:t>
      </w:r>
    </w:p>
    <w:p w14:paraId="77B78D67" w14:textId="7BEC26A4" w:rsidR="00A33E55" w:rsidRPr="00A33E55" w:rsidRDefault="00A33E55" w:rsidP="00A33E55">
      <w:pPr>
        <w:jc w:val="both"/>
        <w:rPr>
          <w:rFonts w:ascii="Arial" w:hAnsi="Arial" w:cs="Arial"/>
          <w:sz w:val="20"/>
          <w:szCs w:val="20"/>
        </w:rPr>
      </w:pPr>
      <w:r w:rsidRPr="00A33E55">
        <w:rPr>
          <w:rFonts w:ascii="Arial" w:hAnsi="Arial" w:cs="Arial"/>
          <w:sz w:val="20"/>
          <w:szCs w:val="20"/>
        </w:rPr>
        <w:t xml:space="preserve">Christian Louboutin cho rằng Amazon đã cho hiển thị các quảng cáo mà sử dụng dấu hiệu giống hệt với nhãn hiệu đã đăng ký tại Liên Minh Châu Âu, đồng thời dự trữ, vận chuyển và phân phối những sản phẩm đó. Mặc dù Amazon đã dựa trên các phán quyết trước đây của Tòa án Công lý Liên minh Châu Âu, theo đó, cho rằng người điều hành các </w:t>
      </w:r>
      <w:r w:rsidRPr="00A33E55">
        <w:rPr>
          <w:rFonts w:ascii="Arial" w:hAnsi="Arial" w:cs="Arial"/>
          <w:sz w:val="20"/>
          <w:szCs w:val="20"/>
          <w:lang w:val="vi-VN"/>
        </w:rPr>
        <w:t>nền tảng</w:t>
      </w:r>
      <w:r w:rsidRPr="00A33E55">
        <w:rPr>
          <w:rFonts w:ascii="Arial" w:hAnsi="Arial" w:cs="Arial"/>
          <w:sz w:val="20"/>
          <w:szCs w:val="20"/>
        </w:rPr>
        <w:t xml:space="preserve"> trực tuyến, chẳng hạn như eBay, không phải chịu trách nhiệm pháp lý về hành vi sử dụng trái phép nhãn hiệu đã đăng ký bởi bên thứ ba trên </w:t>
      </w:r>
      <w:r w:rsidRPr="00A33E55">
        <w:rPr>
          <w:rFonts w:ascii="Arial" w:hAnsi="Arial" w:cs="Arial"/>
          <w:sz w:val="20"/>
          <w:szCs w:val="20"/>
          <w:lang w:val="vi-VN"/>
        </w:rPr>
        <w:t>n</w:t>
      </w:r>
      <w:r w:rsidRPr="00A33E55">
        <w:rPr>
          <w:rFonts w:ascii="Arial" w:hAnsi="Arial" w:cs="Arial"/>
          <w:sz w:val="20"/>
          <w:szCs w:val="20"/>
        </w:rPr>
        <w:t>ề</w:t>
      </w:r>
      <w:r w:rsidRPr="00A33E55">
        <w:rPr>
          <w:rFonts w:ascii="Arial" w:hAnsi="Arial" w:cs="Arial"/>
          <w:sz w:val="20"/>
          <w:szCs w:val="20"/>
          <w:lang w:val="vi-VN"/>
        </w:rPr>
        <w:t>n tảng bán hàng</w:t>
      </w:r>
      <w:r w:rsidRPr="00A33E55">
        <w:rPr>
          <w:rFonts w:ascii="Arial" w:hAnsi="Arial" w:cs="Arial"/>
          <w:sz w:val="20"/>
          <w:szCs w:val="20"/>
        </w:rPr>
        <w:t xml:space="preserve"> trực tuyến của mình. Tuy nhiên, Christian Louboutin lập luận rằng Amazon không thể chỉ đơn giản được coi là một</w:t>
      </w:r>
      <w:r w:rsidRPr="00A33E55">
        <w:rPr>
          <w:rFonts w:ascii="Arial" w:hAnsi="Arial" w:cs="Arial"/>
          <w:sz w:val="20"/>
          <w:szCs w:val="20"/>
          <w:lang w:val="vi-VN"/>
        </w:rPr>
        <w:t xml:space="preserve"> nền tảng</w:t>
      </w:r>
      <w:r w:rsidRPr="00A33E55">
        <w:rPr>
          <w:rFonts w:ascii="Arial" w:hAnsi="Arial" w:cs="Arial"/>
          <w:sz w:val="20"/>
          <w:szCs w:val="20"/>
        </w:rPr>
        <w:t xml:space="preserve"> trung gian cung cấp thị trường trực tuyến để bán hàng, mà bởi Amazon đã hỗ trợ bên thứ ba và đóng vai trò tích cực trong các quảng cáo liên quan đến sản phẩm giả mạo. </w:t>
      </w:r>
    </w:p>
    <w:p w14:paraId="5F554E19" w14:textId="73B8A276" w:rsidR="00A33E55" w:rsidRPr="0040143C" w:rsidRDefault="00A33E55" w:rsidP="00A33E55">
      <w:pPr>
        <w:jc w:val="both"/>
        <w:rPr>
          <w:rFonts w:ascii="Arial" w:hAnsi="Arial" w:cs="Arial"/>
          <w:b/>
          <w:color w:val="2F5496"/>
          <w:sz w:val="20"/>
          <w:szCs w:val="20"/>
        </w:rPr>
      </w:pPr>
      <w:r w:rsidRPr="0040143C">
        <w:rPr>
          <w:rFonts w:ascii="Arial" w:hAnsi="Arial" w:cs="Arial"/>
          <w:b/>
          <w:color w:val="2F5496"/>
          <w:sz w:val="20"/>
          <w:szCs w:val="20"/>
        </w:rPr>
        <w:t>Phán quyế</w:t>
      </w:r>
      <w:r w:rsidR="0064337B">
        <w:rPr>
          <w:rFonts w:ascii="Arial" w:hAnsi="Arial" w:cs="Arial"/>
          <w:b/>
          <w:color w:val="2F5496"/>
          <w:sz w:val="20"/>
          <w:szCs w:val="20"/>
        </w:rPr>
        <w:t>t</w:t>
      </w:r>
      <w:r w:rsidRPr="0040143C">
        <w:rPr>
          <w:rFonts w:ascii="Arial" w:hAnsi="Arial" w:cs="Arial"/>
          <w:b/>
          <w:color w:val="2F5496"/>
          <w:sz w:val="20"/>
          <w:szCs w:val="20"/>
        </w:rPr>
        <w:t xml:space="preserve"> sơ bộ</w:t>
      </w:r>
    </w:p>
    <w:p w14:paraId="6EB9357F" w14:textId="4FBE5D95" w:rsidR="00A33E55" w:rsidRPr="00A33E55" w:rsidRDefault="00A33E55" w:rsidP="00A33E55">
      <w:pPr>
        <w:jc w:val="both"/>
        <w:rPr>
          <w:rFonts w:ascii="Arial" w:hAnsi="Arial" w:cs="Arial"/>
          <w:sz w:val="20"/>
          <w:szCs w:val="20"/>
        </w:rPr>
      </w:pPr>
      <w:r w:rsidRPr="00A33E55">
        <w:rPr>
          <w:rFonts w:ascii="Arial" w:hAnsi="Arial" w:cs="Arial"/>
          <w:sz w:val="20"/>
          <w:szCs w:val="20"/>
        </w:rPr>
        <w:t xml:space="preserve">Khi đưa ra phán quyết sơ bộ, các Toà án chuyên trách chủ yếu nghi ngờ rằng liệu nhận thức của công chúng về nguồn gốc của sản phẩm có thay đổi tương ứng với vai trò tích cực của người điều hành trang web bán hàng trực tuyến khi công bố các quảng cáo liên quan đến sản phẩm đó. Hơn nữa, các Toà án </w:t>
      </w:r>
      <w:r w:rsidR="0064337B">
        <w:rPr>
          <w:rFonts w:ascii="Arial" w:hAnsi="Arial" w:cs="Arial"/>
          <w:sz w:val="20"/>
          <w:szCs w:val="20"/>
        </w:rPr>
        <w:t>ch</w:t>
      </w:r>
      <w:r w:rsidRPr="00A33E55">
        <w:rPr>
          <w:rFonts w:ascii="Arial" w:hAnsi="Arial" w:cs="Arial"/>
          <w:sz w:val="20"/>
          <w:szCs w:val="20"/>
        </w:rPr>
        <w:t>uyên trách vẫn chưa thể khẳ</w:t>
      </w:r>
      <w:bookmarkStart w:id="2" w:name="_GoBack"/>
      <w:bookmarkEnd w:id="2"/>
      <w:r w:rsidRPr="00A33E55">
        <w:rPr>
          <w:rFonts w:ascii="Arial" w:hAnsi="Arial" w:cs="Arial"/>
          <w:sz w:val="20"/>
          <w:szCs w:val="20"/>
        </w:rPr>
        <w:t>ng định liệu người điều hành trang web trực tuyến như vậy có bị coi là xâm phạm nhãn hiệu đã đăng ký hay không nếu như họ chỉ vận chuyển những sản phẩm này mà không hề hay biết về hành vi vi phạm. Theo quan điểm nêu trên, các Toà án chuyên trách đã chuyển các câu hỏi sau tới Tòa án Công lý Liên minh Châu Âu:</w:t>
      </w:r>
    </w:p>
    <w:p w14:paraId="524640B9" w14:textId="77777777" w:rsidR="00A33E55" w:rsidRPr="00A33E55" w:rsidRDefault="00A33E55" w:rsidP="00A33E55">
      <w:pPr>
        <w:pStyle w:val="ListParagraph"/>
        <w:numPr>
          <w:ilvl w:val="0"/>
          <w:numId w:val="22"/>
        </w:numPr>
        <w:jc w:val="both"/>
        <w:rPr>
          <w:rFonts w:ascii="Arial" w:hAnsi="Arial" w:cs="Arial"/>
          <w:sz w:val="20"/>
          <w:szCs w:val="20"/>
        </w:rPr>
      </w:pPr>
      <w:r w:rsidRPr="00A33E55">
        <w:rPr>
          <w:rFonts w:ascii="Arial" w:hAnsi="Arial" w:cs="Arial"/>
          <w:sz w:val="20"/>
          <w:szCs w:val="20"/>
        </w:rPr>
        <w:t xml:space="preserve">"Liệu Điều 9(2) có được hiểu là việc sử dụng dấu hiệu trùng với nhãn hiệu được quảng cáo trên </w:t>
      </w:r>
      <w:r w:rsidRPr="00A33E55">
        <w:rPr>
          <w:rFonts w:ascii="Arial" w:hAnsi="Arial" w:cs="Arial"/>
          <w:sz w:val="20"/>
          <w:szCs w:val="20"/>
          <w:lang w:val="vi-VN"/>
        </w:rPr>
        <w:t>nền tảng</w:t>
      </w:r>
      <w:r w:rsidRPr="00A33E55">
        <w:rPr>
          <w:rFonts w:ascii="Arial" w:hAnsi="Arial" w:cs="Arial"/>
          <w:sz w:val="20"/>
          <w:szCs w:val="20"/>
        </w:rPr>
        <w:t xml:space="preserve"> trực tuyến không về nguyên tắc, có thể gắn liền với người điều hành  trang web hay không [...] nếu, theo nhận thức của một người dùng internet có hiểu biết đầy đủ và có óc quan sát hợp lý, thì người điều hành trang web đó hoặc một thực thể có mối liên quan về kinh tế đã đóng vai trò tích cực trong việc quảng cáo hoặc nếu quảng cáo đó được hiểu là một phần trong giao tiếp thương mại của chính người điều hành trang web đó?”</w:t>
      </w:r>
    </w:p>
    <w:p w14:paraId="3470CBC2" w14:textId="699BBEA6" w:rsidR="00A33E55" w:rsidRPr="0040143C" w:rsidRDefault="00A33E55" w:rsidP="00A33E55">
      <w:pPr>
        <w:pStyle w:val="ListParagraph"/>
        <w:numPr>
          <w:ilvl w:val="0"/>
          <w:numId w:val="22"/>
        </w:numPr>
        <w:jc w:val="both"/>
        <w:rPr>
          <w:rFonts w:ascii="Arial" w:hAnsi="Arial" w:cs="Arial"/>
          <w:sz w:val="20"/>
          <w:szCs w:val="20"/>
        </w:rPr>
      </w:pPr>
      <w:r w:rsidRPr="00A33E55">
        <w:rPr>
          <w:rFonts w:ascii="Arial" w:hAnsi="Arial" w:cs="Arial"/>
          <w:sz w:val="20"/>
          <w:szCs w:val="20"/>
        </w:rPr>
        <w:t>“Liệu Điều 9(2) có được hiểu là việc vận chuyển sản phẩm mang dấu hiệu giống với nhãn hiệu đã đăng ký trong quá trình buôn bán mà không có sự đồng ý của chủ sở hữu nhãn hiệu, đến tay người tiêu dùng, thì người giao hàng có bị coi là đã cấu thành hành vi vi phạm nếu biết rằng dấu hiệu đã được gắn lên hàng hóa”.</w:t>
      </w:r>
    </w:p>
    <w:p w14:paraId="26465DF2" w14:textId="77777777" w:rsidR="0040143C" w:rsidRDefault="0040143C">
      <w:pPr>
        <w:rPr>
          <w:rFonts w:ascii="Arial" w:hAnsi="Arial" w:cs="Arial"/>
          <w:b/>
          <w:sz w:val="20"/>
          <w:szCs w:val="20"/>
        </w:rPr>
      </w:pPr>
      <w:r>
        <w:rPr>
          <w:rFonts w:ascii="Arial" w:hAnsi="Arial" w:cs="Arial"/>
          <w:b/>
          <w:sz w:val="20"/>
          <w:szCs w:val="20"/>
        </w:rPr>
        <w:br w:type="page"/>
      </w:r>
    </w:p>
    <w:p w14:paraId="6B2A08C5" w14:textId="28A1B966" w:rsidR="0040143C" w:rsidRPr="0040143C" w:rsidRDefault="00BE2FE4" w:rsidP="00A33E55">
      <w:pPr>
        <w:jc w:val="both"/>
        <w:rPr>
          <w:rFonts w:ascii="Arial" w:hAnsi="Arial" w:cs="Arial"/>
          <w:b/>
          <w:color w:val="2F5496"/>
          <w:sz w:val="20"/>
          <w:szCs w:val="20"/>
        </w:rPr>
      </w:pPr>
      <w:r w:rsidRPr="00A33E55">
        <w:rPr>
          <w:rFonts w:ascii="Arial" w:hAnsi="Arial" w:cs="Arial"/>
          <w:bCs/>
          <w:noProof/>
          <w:color w:val="C00000"/>
          <w:sz w:val="20"/>
          <w:szCs w:val="20"/>
          <w:lang w:eastAsia="ko-KR"/>
        </w:rPr>
        <w:lastRenderedPageBreak/>
        <mc:AlternateContent>
          <mc:Choice Requires="wps">
            <w:drawing>
              <wp:anchor distT="0" distB="0" distL="114300" distR="114300" simplePos="0" relativeHeight="251665408" behindDoc="0" locked="0" layoutInCell="1" allowOverlap="1" wp14:anchorId="36CE533E" wp14:editId="515C0896">
                <wp:simplePos x="0" y="0"/>
                <wp:positionH relativeFrom="page">
                  <wp:posOffset>7143750</wp:posOffset>
                </wp:positionH>
                <wp:positionV relativeFrom="paragraph">
                  <wp:posOffset>-207645</wp:posOffset>
                </wp:positionV>
                <wp:extent cx="308610" cy="10325735"/>
                <wp:effectExtent l="0" t="0" r="15240" b="18415"/>
                <wp:wrapNone/>
                <wp:docPr id="2" name="Rectangle 2"/>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5D6C3A" w14:textId="77777777" w:rsidR="00BE2FE4" w:rsidRPr="00BA68B8" w:rsidRDefault="00BE2FE4" w:rsidP="00BE2FE4">
                            <w:pPr>
                              <w:spacing w:after="0" w:line="240" w:lineRule="auto"/>
                              <w:rPr>
                                <w:rFonts w:ascii="Arial" w:hAnsi="Arial" w:cs="Arial"/>
                                <w:b/>
                                <w:color w:val="FFFFFF" w:themeColor="background1"/>
                                <w:sz w:val="20"/>
                                <w:szCs w:val="20"/>
                              </w:rPr>
                            </w:pPr>
                            <w:r w:rsidRPr="00255160">
                              <w:rPr>
                                <w:rFonts w:ascii="Arial" w:hAnsi="Arial" w:cs="Arial"/>
                                <w:b/>
                                <w:color w:val="FFFFFF" w:themeColor="background1"/>
                                <w:sz w:val="20"/>
                                <w:szCs w:val="20"/>
                              </w:rPr>
                              <w:t>Xâm phạm quyền Sở hữu trí tuệ</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CE533E" id="Rectangle 2" o:spid="_x0000_s1028" style="position:absolute;left:0;text-align:left;margin-left:562.5pt;margin-top:-16.35pt;width:24.3pt;height:813.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" fillcolor="#00b39c" strokecolor="#00b39c" strokeweight="0">
                <v:textbox style="layout-flow:vertical" inset=",1.3mm,1.3mm">
                  <w:txbxContent>
                    <w:p w14:paraId="555D6C3A" w14:textId="77777777" w:rsidR="00BE2FE4" w:rsidRPr="00BA68B8" w:rsidRDefault="00BE2FE4" w:rsidP="00BE2FE4">
                      <w:pPr>
                        <w:spacing w:after="0" w:line="240" w:lineRule="auto"/>
                        <w:rPr>
                          <w:rFonts w:ascii="Arial" w:hAnsi="Arial" w:cs="Arial"/>
                          <w:b/>
                          <w:color w:val="FFFFFF" w:themeColor="background1"/>
                          <w:sz w:val="20"/>
                          <w:szCs w:val="20"/>
                        </w:rPr>
                      </w:pPr>
                      <w:r w:rsidRPr="00255160">
                        <w:rPr>
                          <w:rFonts w:ascii="Arial" w:hAnsi="Arial" w:cs="Arial"/>
                          <w:b/>
                          <w:color w:val="FFFFFF" w:themeColor="background1"/>
                          <w:sz w:val="20"/>
                          <w:szCs w:val="20"/>
                        </w:rPr>
                        <w:t>Xâm phạm quyền Sở hữu trí tuệ</w:t>
                      </w:r>
                    </w:p>
                  </w:txbxContent>
                </v:textbox>
                <w10:wrap anchorx="page"/>
              </v:rect>
            </w:pict>
          </mc:Fallback>
        </mc:AlternateContent>
      </w:r>
      <w:r w:rsidR="00A33E55" w:rsidRPr="0040143C">
        <w:rPr>
          <w:rFonts w:ascii="Arial" w:hAnsi="Arial" w:cs="Arial"/>
          <w:b/>
          <w:color w:val="2F5496"/>
          <w:sz w:val="20"/>
          <w:szCs w:val="20"/>
        </w:rPr>
        <w:t>Giải thích và Quyết định của Tòa án Công lý Liên minh Châu Âu</w:t>
      </w:r>
    </w:p>
    <w:p w14:paraId="7AC03062" w14:textId="164720A6" w:rsidR="00A33E55" w:rsidRPr="0040143C" w:rsidRDefault="00A33E55" w:rsidP="00A33E55">
      <w:pPr>
        <w:jc w:val="both"/>
        <w:rPr>
          <w:rFonts w:ascii="Arial" w:hAnsi="Arial" w:cs="Arial"/>
          <w:b/>
          <w:sz w:val="20"/>
          <w:szCs w:val="20"/>
        </w:rPr>
      </w:pPr>
      <w:r w:rsidRPr="00A33E55">
        <w:rPr>
          <w:rFonts w:ascii="Arial" w:hAnsi="Arial" w:cs="Arial"/>
          <w:sz w:val="20"/>
          <w:szCs w:val="20"/>
        </w:rPr>
        <w:t>Điều 9(2)(a) của Quy định về nhãn hiệu Liên minh Châu Âu đã quy định rõ ràng rằng chủ sở hữu nhãn hiệu Liên minh Châu Âu có quyền cấm bên thứ ba sử dụng một dấu hiệu giống hệt với nhãn hiệu đã đăng ký tại Liên minh Châu Âu đó</w:t>
      </w:r>
      <w:r w:rsidRPr="00A33E55">
        <w:rPr>
          <w:sz w:val="20"/>
          <w:szCs w:val="20"/>
        </w:rPr>
        <w:t xml:space="preserve"> </w:t>
      </w:r>
      <w:r w:rsidRPr="00A33E55">
        <w:rPr>
          <w:rFonts w:ascii="Arial" w:hAnsi="Arial" w:cs="Arial"/>
          <w:sz w:val="20"/>
          <w:szCs w:val="20"/>
        </w:rPr>
        <w:t>mà không có sự đồng ý của họ. Tuy nhiên, “</w:t>
      </w:r>
      <w:r w:rsidRPr="00A33E55">
        <w:rPr>
          <w:rFonts w:ascii="Arial" w:hAnsi="Arial" w:cs="Arial"/>
          <w:b/>
          <w:bCs/>
          <w:sz w:val="20"/>
          <w:szCs w:val="20"/>
        </w:rPr>
        <w:t>mức độ sử dụng</w:t>
      </w:r>
      <w:r w:rsidRPr="00A33E55">
        <w:rPr>
          <w:rFonts w:ascii="Arial" w:hAnsi="Arial" w:cs="Arial"/>
          <w:sz w:val="20"/>
          <w:szCs w:val="20"/>
        </w:rPr>
        <w:t>” như thế nào vẫn chưa được xác định. Theo Tòa án Công lý Liên minh Châu Âu, trong phán quyết của Tòa án (Phòng thứ năm) ngày 2 tháng 4 năm 2020 đối với vụ kiện giữa 'Coty Germany GmbH với Amazon Services Europe Sàrl và các công ty khác (C-567/18) ("</w:t>
      </w:r>
      <w:r w:rsidRPr="00A33E55">
        <w:rPr>
          <w:rFonts w:ascii="Arial" w:hAnsi="Arial" w:cs="Arial"/>
          <w:b/>
          <w:sz w:val="20"/>
          <w:szCs w:val="20"/>
        </w:rPr>
        <w:t>Vụ kiện Coty</w:t>
      </w:r>
      <w:r w:rsidRPr="00A33E55">
        <w:rPr>
          <w:rFonts w:ascii="Arial" w:hAnsi="Arial" w:cs="Arial"/>
          <w:sz w:val="20"/>
          <w:szCs w:val="20"/>
        </w:rPr>
        <w:t>"), thuật ngữ “sử dụng” đề cập đến hành vi của bên thứ ba,</w:t>
      </w:r>
      <w:r w:rsidRPr="00A33E55">
        <w:rPr>
          <w:sz w:val="20"/>
          <w:szCs w:val="20"/>
        </w:rPr>
        <w:t xml:space="preserve"> </w:t>
      </w:r>
      <w:r w:rsidRPr="00A33E55">
        <w:rPr>
          <w:rFonts w:ascii="Arial" w:hAnsi="Arial" w:cs="Arial"/>
          <w:sz w:val="20"/>
          <w:szCs w:val="20"/>
        </w:rPr>
        <w:t>người mà có quyền kiểm soát trực tiếp hoặc gián tiếp đối với hành vi vi phạm và</w:t>
      </w:r>
      <w:r w:rsidRPr="00A33E55">
        <w:rPr>
          <w:sz w:val="20"/>
          <w:szCs w:val="20"/>
        </w:rPr>
        <w:t xml:space="preserve"> </w:t>
      </w:r>
      <w:r w:rsidRPr="00A33E55">
        <w:rPr>
          <w:rFonts w:ascii="Arial" w:hAnsi="Arial" w:cs="Arial"/>
          <w:sz w:val="20"/>
          <w:szCs w:val="20"/>
        </w:rPr>
        <w:t>có thể tuân thủ quy định cấm đó.</w:t>
      </w:r>
    </w:p>
    <w:p w14:paraId="21709747" w14:textId="310BB168" w:rsidR="00A33E55" w:rsidRPr="00A33E55" w:rsidRDefault="00A33E55" w:rsidP="00A33E55">
      <w:pPr>
        <w:jc w:val="both"/>
        <w:rPr>
          <w:rFonts w:ascii="Arial" w:hAnsi="Arial" w:cs="Arial"/>
          <w:sz w:val="20"/>
          <w:szCs w:val="20"/>
          <w:lang w:val="vi-VN"/>
        </w:rPr>
      </w:pPr>
      <w:r w:rsidRPr="00A33E55">
        <w:rPr>
          <w:rFonts w:ascii="Arial" w:hAnsi="Arial" w:cs="Arial"/>
          <w:sz w:val="20"/>
          <w:szCs w:val="20"/>
        </w:rPr>
        <w:t xml:space="preserve">Tòa án Công lý Liên minh Châu Âu đã đã đưa ra quyết định trong Vụ kiện Coty rằng các quảng cáo được hiển thị trên </w:t>
      </w:r>
      <w:r w:rsidRPr="00A33E55">
        <w:rPr>
          <w:rFonts w:ascii="Arial" w:hAnsi="Arial" w:cs="Arial"/>
          <w:sz w:val="20"/>
          <w:szCs w:val="20"/>
          <w:lang w:val="vi-VN"/>
        </w:rPr>
        <w:t>nền tảng</w:t>
      </w:r>
      <w:r w:rsidRPr="00A33E55">
        <w:rPr>
          <w:rFonts w:ascii="Arial" w:hAnsi="Arial" w:cs="Arial"/>
          <w:sz w:val="20"/>
          <w:szCs w:val="20"/>
        </w:rPr>
        <w:t xml:space="preserve"> bán hàng trực tuyến do bên thứ ba bán thì trách nhiệm vẫn là của bên thứ ba chứ không phải của người điều hành </w:t>
      </w:r>
      <w:r w:rsidRPr="00A33E55">
        <w:rPr>
          <w:rFonts w:ascii="Arial" w:hAnsi="Arial" w:cs="Arial"/>
          <w:sz w:val="20"/>
          <w:szCs w:val="20"/>
          <w:lang w:val="vi-VN"/>
        </w:rPr>
        <w:t>nền tảng</w:t>
      </w:r>
      <w:r w:rsidRPr="00A33E55">
        <w:rPr>
          <w:rFonts w:ascii="Arial" w:hAnsi="Arial" w:cs="Arial"/>
          <w:sz w:val="20"/>
          <w:szCs w:val="20"/>
        </w:rPr>
        <w:t xml:space="preserve"> trực tuyến. Nói cách khác, </w:t>
      </w:r>
      <w:r w:rsidRPr="00A33E55">
        <w:rPr>
          <w:rFonts w:ascii="Arial" w:hAnsi="Arial" w:cs="Arial"/>
          <w:sz w:val="20"/>
          <w:szCs w:val="20"/>
          <w:lang w:val="vi-VN"/>
        </w:rPr>
        <w:t>nền tảng</w:t>
      </w:r>
      <w:r w:rsidRPr="00A33E55">
        <w:rPr>
          <w:rFonts w:ascii="Arial" w:hAnsi="Arial" w:cs="Arial"/>
          <w:sz w:val="20"/>
          <w:szCs w:val="20"/>
        </w:rPr>
        <w:t xml:space="preserve"> bán hàng trực tuyến </w:t>
      </w:r>
      <w:r w:rsidRPr="00A33E55">
        <w:rPr>
          <w:rFonts w:ascii="Arial" w:hAnsi="Arial" w:cs="Arial"/>
          <w:sz w:val="20"/>
          <w:szCs w:val="20"/>
          <w:lang w:val="vi-VN"/>
        </w:rPr>
        <w:t xml:space="preserve">chỉ </w:t>
      </w:r>
      <w:r w:rsidRPr="00A33E55">
        <w:rPr>
          <w:rFonts w:ascii="Arial" w:hAnsi="Arial" w:cs="Arial"/>
          <w:sz w:val="20"/>
          <w:szCs w:val="20"/>
        </w:rPr>
        <w:t xml:space="preserve">cung cấp </w:t>
      </w:r>
      <w:r w:rsidRPr="00A33E55">
        <w:rPr>
          <w:rFonts w:ascii="Arial" w:hAnsi="Arial" w:cs="Arial"/>
          <w:sz w:val="20"/>
          <w:szCs w:val="20"/>
          <w:lang w:val="vi-VN"/>
        </w:rPr>
        <w:t xml:space="preserve">thị trường cho bên thứ ba </w:t>
      </w:r>
      <w:r w:rsidRPr="00A33E55">
        <w:rPr>
          <w:rFonts w:ascii="Arial" w:hAnsi="Arial" w:cs="Arial"/>
          <w:sz w:val="20"/>
          <w:szCs w:val="20"/>
          <w:lang w:val="en-GB"/>
        </w:rPr>
        <w:t xml:space="preserve">bán hàng, </w:t>
      </w:r>
      <w:r w:rsidRPr="00A33E55">
        <w:rPr>
          <w:rFonts w:ascii="Arial" w:hAnsi="Arial" w:cs="Arial"/>
          <w:sz w:val="20"/>
          <w:szCs w:val="20"/>
          <w:lang w:val="vi-VN"/>
        </w:rPr>
        <w:t xml:space="preserve">nên không thể kiểm soát được vấn đề vi phạm của sản phẩm, vì vậy người bán sẽ phải chịu trách nhiệm về hành vi vi phạm. Trong vụ kiện Coty, </w:t>
      </w:r>
      <w:r w:rsidRPr="00A33E55">
        <w:rPr>
          <w:rFonts w:ascii="Arial" w:hAnsi="Arial" w:cs="Arial"/>
          <w:sz w:val="20"/>
          <w:szCs w:val="20"/>
        </w:rPr>
        <w:t xml:space="preserve">Tòa án Công lý Liên minh Châu Âu </w:t>
      </w:r>
      <w:r w:rsidRPr="00A33E55">
        <w:rPr>
          <w:rFonts w:ascii="Arial" w:hAnsi="Arial" w:cs="Arial"/>
          <w:sz w:val="20"/>
          <w:szCs w:val="20"/>
          <w:lang w:val="vi-VN"/>
        </w:rPr>
        <w:t xml:space="preserve">đã phán quyết rằng các nền tảng trực tuyến không phải chịu trách nhiệm pháp lý </w:t>
      </w:r>
      <w:r w:rsidRPr="00A33E55">
        <w:rPr>
          <w:rFonts w:ascii="Arial" w:hAnsi="Arial" w:cs="Arial"/>
          <w:sz w:val="20"/>
          <w:szCs w:val="20"/>
          <w:lang w:val="en-GB"/>
        </w:rPr>
        <w:t>cho</w:t>
      </w:r>
      <w:r w:rsidRPr="00A33E55">
        <w:rPr>
          <w:rFonts w:ascii="Arial" w:hAnsi="Arial" w:cs="Arial"/>
          <w:sz w:val="20"/>
          <w:szCs w:val="20"/>
          <w:lang w:val="vi-VN"/>
        </w:rPr>
        <w:t xml:space="preserve"> hành vi vi phạm nhãn hiệu đối với các sản phẩm giả được bán bởi bên thứ ba. Tuy nhiên, trong trường hợp này</w:t>
      </w:r>
      <w:r w:rsidRPr="00A33E55">
        <w:rPr>
          <w:rFonts w:ascii="Arial" w:hAnsi="Arial" w:cs="Arial"/>
          <w:sz w:val="20"/>
          <w:szCs w:val="20"/>
        </w:rPr>
        <w:t>, Tòa án Công lý Liên minh Châu Âu đưa</w:t>
      </w:r>
      <w:r w:rsidRPr="00A33E55">
        <w:rPr>
          <w:rFonts w:ascii="Arial" w:hAnsi="Arial" w:cs="Arial"/>
          <w:sz w:val="20"/>
          <w:szCs w:val="20"/>
          <w:lang w:val="vi-VN"/>
        </w:rPr>
        <w:t xml:space="preserve"> ra một sự khác biệt quan trọng vì Amazon </w:t>
      </w:r>
      <w:r w:rsidRPr="00A33E55">
        <w:rPr>
          <w:rFonts w:ascii="Arial" w:hAnsi="Arial" w:cs="Arial"/>
          <w:b/>
          <w:bCs/>
          <w:sz w:val="20"/>
          <w:szCs w:val="20"/>
          <w:lang w:val="vi-VN"/>
        </w:rPr>
        <w:t>đảm nhận cả việc vận chuyển và lưu trữ hàng giả</w:t>
      </w:r>
      <w:r w:rsidRPr="00A33E55">
        <w:rPr>
          <w:rFonts w:ascii="Arial" w:hAnsi="Arial" w:cs="Arial"/>
          <w:sz w:val="20"/>
          <w:szCs w:val="20"/>
          <w:lang w:val="vi-VN"/>
        </w:rPr>
        <w:t xml:space="preserve">, </w:t>
      </w:r>
      <w:r w:rsidRPr="00A33E55">
        <w:rPr>
          <w:rFonts w:ascii="Arial" w:hAnsi="Arial" w:cs="Arial"/>
          <w:sz w:val="20"/>
          <w:szCs w:val="20"/>
        </w:rPr>
        <w:t xml:space="preserve">còn </w:t>
      </w:r>
      <w:r w:rsidRPr="00A33E55">
        <w:rPr>
          <w:rFonts w:ascii="Arial" w:hAnsi="Arial" w:cs="Arial"/>
          <w:sz w:val="20"/>
          <w:szCs w:val="20"/>
          <w:lang w:val="en-GB"/>
        </w:rPr>
        <w:t>người</w:t>
      </w:r>
      <w:r w:rsidRPr="00A33E55">
        <w:rPr>
          <w:rFonts w:ascii="Arial" w:hAnsi="Arial" w:cs="Arial"/>
          <w:sz w:val="20"/>
          <w:szCs w:val="20"/>
          <w:lang w:val="vi-VN"/>
        </w:rPr>
        <w:t xml:space="preserve"> điều hành nền tảng trực tuyến trong vụ kiện Coty đã gửi hàng hóa </w:t>
      </w:r>
      <w:r w:rsidRPr="00A33E55">
        <w:rPr>
          <w:rFonts w:ascii="Arial" w:hAnsi="Arial" w:cs="Arial"/>
          <w:sz w:val="20"/>
          <w:szCs w:val="20"/>
          <w:lang w:val="en-GB"/>
        </w:rPr>
        <w:t>thông qua</w:t>
      </w:r>
      <w:r w:rsidRPr="00A33E55">
        <w:rPr>
          <w:rFonts w:ascii="Arial" w:hAnsi="Arial" w:cs="Arial"/>
          <w:sz w:val="20"/>
          <w:szCs w:val="20"/>
          <w:lang w:val="vi-VN"/>
        </w:rPr>
        <w:t xml:space="preserve"> các nhà cung cấp dịch vụ </w:t>
      </w:r>
      <w:r w:rsidRPr="00A33E55">
        <w:rPr>
          <w:rFonts w:ascii="Arial" w:hAnsi="Arial" w:cs="Arial"/>
          <w:sz w:val="20"/>
          <w:szCs w:val="20"/>
          <w:lang w:val="en-GB"/>
        </w:rPr>
        <w:t>riêng biệt</w:t>
      </w:r>
      <w:r w:rsidRPr="00A33E55">
        <w:rPr>
          <w:rFonts w:ascii="Arial" w:hAnsi="Arial" w:cs="Arial"/>
          <w:sz w:val="20"/>
          <w:szCs w:val="20"/>
          <w:lang w:val="vi-VN"/>
        </w:rPr>
        <w:t>.</w:t>
      </w:r>
    </w:p>
    <w:p w14:paraId="7811BC8C" w14:textId="3D94607F" w:rsidR="00A33E55" w:rsidRPr="00A33E55" w:rsidRDefault="00A33E55" w:rsidP="00A33E55">
      <w:pPr>
        <w:jc w:val="both"/>
        <w:rPr>
          <w:rFonts w:ascii="Arial" w:hAnsi="Arial" w:cs="Arial"/>
          <w:sz w:val="20"/>
          <w:szCs w:val="20"/>
          <w:lang w:val="vi-VN"/>
        </w:rPr>
      </w:pPr>
      <w:r w:rsidRPr="00A33E55">
        <w:rPr>
          <w:rFonts w:ascii="Arial" w:hAnsi="Arial" w:cs="Arial"/>
          <w:sz w:val="20"/>
          <w:szCs w:val="20"/>
          <w:lang w:val="vi-VN"/>
        </w:rPr>
        <w:t xml:space="preserve">Vào tháng 6 năm 2022, </w:t>
      </w:r>
      <w:r w:rsidRPr="00A33E55">
        <w:rPr>
          <w:rFonts w:ascii="Arial" w:hAnsi="Arial" w:cs="Arial"/>
          <w:sz w:val="20"/>
          <w:szCs w:val="20"/>
          <w:lang w:val="en-GB"/>
        </w:rPr>
        <w:t>Luật sư tranh tụng đã</w:t>
      </w:r>
      <w:r w:rsidRPr="00A33E55">
        <w:rPr>
          <w:rFonts w:ascii="Arial" w:hAnsi="Arial" w:cs="Arial"/>
          <w:sz w:val="20"/>
          <w:szCs w:val="20"/>
          <w:lang w:val="vi-VN"/>
        </w:rPr>
        <w:t xml:space="preserve"> đưa ra ý kiến rằng “</w:t>
      </w:r>
      <w:r w:rsidRPr="00A33E55">
        <w:rPr>
          <w:rFonts w:ascii="Arial" w:hAnsi="Arial" w:cs="Arial"/>
          <w:i/>
          <w:iCs/>
          <w:sz w:val="20"/>
          <w:szCs w:val="20"/>
          <w:lang w:val="vi-VN"/>
        </w:rPr>
        <w:t>bên cung cấp nền tảng trung gian trực tuyến không phải chịu trách nhiệm trực tiếp đối với các hành vi vi phạm quyền của chủ sở hữu nhãn hiệu diễn ra trên nền tảng đó do các dịch vụ thương mại của bên thứ ba</w:t>
      </w:r>
      <w:r w:rsidRPr="00A33E55">
        <w:rPr>
          <w:rFonts w:ascii="Arial" w:hAnsi="Arial" w:cs="Arial"/>
          <w:sz w:val="20"/>
          <w:szCs w:val="20"/>
          <w:lang w:val="vi-VN"/>
        </w:rPr>
        <w:t xml:space="preserve">”. Để xác định xem </w:t>
      </w:r>
      <w:r w:rsidRPr="00A33E55">
        <w:rPr>
          <w:rFonts w:ascii="Arial" w:hAnsi="Arial" w:cs="Arial"/>
          <w:sz w:val="20"/>
          <w:szCs w:val="20"/>
          <w:lang w:val="en-GB"/>
        </w:rPr>
        <w:t>người</w:t>
      </w:r>
      <w:r w:rsidRPr="00A33E55">
        <w:rPr>
          <w:rFonts w:ascii="Arial" w:hAnsi="Arial" w:cs="Arial"/>
          <w:sz w:val="20"/>
          <w:szCs w:val="20"/>
          <w:lang w:val="vi-VN"/>
        </w:rPr>
        <w:t xml:space="preserve"> điều hành nền tảng bán hàng trực tuyến có sử dụng nhãn hiệu đã đăng ký hay không, </w:t>
      </w:r>
      <w:r w:rsidRPr="00A33E55">
        <w:rPr>
          <w:rFonts w:ascii="Arial" w:hAnsi="Arial" w:cs="Arial"/>
          <w:sz w:val="20"/>
          <w:szCs w:val="20"/>
          <w:lang w:val="en-GB"/>
        </w:rPr>
        <w:t>Luật sư tranh tụng</w:t>
      </w:r>
      <w:r w:rsidRPr="00A33E55">
        <w:rPr>
          <w:rFonts w:ascii="Arial" w:hAnsi="Arial" w:cs="Arial"/>
          <w:sz w:val="20"/>
          <w:szCs w:val="20"/>
          <w:lang w:val="vi-VN"/>
        </w:rPr>
        <w:t xml:space="preserve"> cho rằng cần phải đánh giá xem liệu </w:t>
      </w:r>
      <w:r w:rsidRPr="00A33E55">
        <w:rPr>
          <w:rFonts w:ascii="Arial" w:hAnsi="Arial" w:cs="Arial"/>
          <w:b/>
          <w:bCs/>
          <w:sz w:val="20"/>
          <w:szCs w:val="20"/>
          <w:lang w:val="vi-VN"/>
        </w:rPr>
        <w:t>người dùng</w:t>
      </w:r>
      <w:r w:rsidRPr="00A33E55">
        <w:rPr>
          <w:rFonts w:ascii="Arial" w:hAnsi="Arial" w:cs="Arial"/>
          <w:sz w:val="20"/>
          <w:szCs w:val="20"/>
          <w:lang w:val="vi-VN"/>
        </w:rPr>
        <w:t xml:space="preserve"> có đủ thông tin và quan sát hợp lý để có thể phân biệt giữa quảng cáo của </w:t>
      </w:r>
      <w:r w:rsidRPr="00A33E55">
        <w:rPr>
          <w:rFonts w:ascii="Arial" w:hAnsi="Arial" w:cs="Arial"/>
          <w:b/>
          <w:bCs/>
          <w:sz w:val="20"/>
          <w:szCs w:val="20"/>
          <w:lang w:val="vi-VN"/>
        </w:rPr>
        <w:t>người bán bên thứ ba và quảng cáo của Amazon hay không</w:t>
      </w:r>
      <w:r w:rsidRPr="00A33E55">
        <w:rPr>
          <w:rFonts w:ascii="Arial" w:hAnsi="Arial" w:cs="Arial"/>
          <w:sz w:val="20"/>
          <w:szCs w:val="20"/>
          <w:lang w:val="vi-VN"/>
        </w:rPr>
        <w:t xml:space="preserve">. Tuy nhiên, </w:t>
      </w:r>
      <w:r w:rsidRPr="00A33E55">
        <w:rPr>
          <w:rFonts w:ascii="Arial" w:hAnsi="Arial" w:cs="Arial"/>
          <w:sz w:val="20"/>
          <w:szCs w:val="20"/>
        </w:rPr>
        <w:t>Tòa án Công lý Liên minh Châu Âu</w:t>
      </w:r>
      <w:r w:rsidRPr="00A33E55">
        <w:rPr>
          <w:rFonts w:ascii="Arial" w:hAnsi="Arial" w:cs="Arial"/>
          <w:sz w:val="20"/>
          <w:szCs w:val="20"/>
          <w:lang w:val="en-GB"/>
        </w:rPr>
        <w:t xml:space="preserve"> </w:t>
      </w:r>
      <w:r w:rsidRPr="00A33E55">
        <w:rPr>
          <w:rFonts w:ascii="Arial" w:hAnsi="Arial" w:cs="Arial"/>
          <w:sz w:val="20"/>
          <w:szCs w:val="20"/>
          <w:lang w:val="vi-VN"/>
        </w:rPr>
        <w:t>đã đưa ra một cách giải thích khác và lưu ý rằng người tiêu dùng có thể dễ dàng phân biệt giữa hàng giả và Amazon</w:t>
      </w:r>
      <w:r w:rsidRPr="00A33E55">
        <w:rPr>
          <w:rFonts w:ascii="Arial" w:hAnsi="Arial" w:cs="Arial"/>
          <w:sz w:val="20"/>
          <w:szCs w:val="20"/>
          <w:lang w:val="en-GB"/>
        </w:rPr>
        <w:t xml:space="preserve"> khi xem</w:t>
      </w:r>
      <w:r w:rsidRPr="00A33E55">
        <w:rPr>
          <w:rFonts w:ascii="Arial" w:hAnsi="Arial" w:cs="Arial"/>
          <w:sz w:val="20"/>
          <w:szCs w:val="20"/>
          <w:lang w:val="vi-VN"/>
        </w:rPr>
        <w:t xml:space="preserve"> xét các yếu tố dưới đây:</w:t>
      </w:r>
    </w:p>
    <w:p w14:paraId="5B7B4650" w14:textId="77777777" w:rsidR="00A33E55" w:rsidRPr="00A33E55" w:rsidRDefault="00A33E55" w:rsidP="00A33E55">
      <w:pPr>
        <w:pStyle w:val="ListParagraph"/>
        <w:numPr>
          <w:ilvl w:val="0"/>
          <w:numId w:val="23"/>
        </w:numPr>
        <w:jc w:val="both"/>
        <w:rPr>
          <w:rFonts w:ascii="Arial" w:hAnsi="Arial" w:cs="Arial"/>
          <w:sz w:val="20"/>
          <w:szCs w:val="20"/>
          <w:lang w:val="vi-VN"/>
        </w:rPr>
      </w:pPr>
      <w:r w:rsidRPr="00A33E55">
        <w:rPr>
          <w:rFonts w:ascii="Arial" w:hAnsi="Arial" w:cs="Arial"/>
          <w:sz w:val="20"/>
          <w:szCs w:val="20"/>
          <w:lang w:val="vi-VN"/>
        </w:rPr>
        <w:t>Sử dụng logo riêng của nền tảng trực tuyến trên sản phẩm được quảng cáo, kể cả trên những sản phẩm được cung cấp bởi bên thứ ba;</w:t>
      </w:r>
    </w:p>
    <w:p w14:paraId="234543DB" w14:textId="77777777" w:rsidR="00A33E55" w:rsidRPr="00A33E55" w:rsidRDefault="00A33E55" w:rsidP="00A33E55">
      <w:pPr>
        <w:pStyle w:val="ListParagraph"/>
        <w:numPr>
          <w:ilvl w:val="0"/>
          <w:numId w:val="23"/>
        </w:numPr>
        <w:jc w:val="both"/>
        <w:rPr>
          <w:rFonts w:ascii="Arial" w:hAnsi="Arial" w:cs="Arial"/>
          <w:sz w:val="20"/>
          <w:szCs w:val="20"/>
          <w:lang w:val="vi-VN"/>
        </w:rPr>
      </w:pPr>
      <w:r w:rsidRPr="00A33E55">
        <w:rPr>
          <w:rFonts w:ascii="Arial" w:hAnsi="Arial" w:cs="Arial"/>
          <w:sz w:val="20"/>
          <w:szCs w:val="20"/>
          <w:lang w:val="vi-VN"/>
        </w:rPr>
        <w:t xml:space="preserve">Sử dụng một cách thống nhất để trình bày các sản phẩm được công bố trên nền tảng trực tuyến đối với trường hợp khó phân biệt giữa sản phẩm được bán bởi bên thứ ba và </w:t>
      </w:r>
      <w:r w:rsidRPr="00A33E55">
        <w:rPr>
          <w:rFonts w:ascii="Arial" w:hAnsi="Arial" w:cs="Arial"/>
          <w:sz w:val="20"/>
          <w:szCs w:val="20"/>
          <w:lang w:val="en-GB"/>
        </w:rPr>
        <w:t xml:space="preserve">bởi </w:t>
      </w:r>
      <w:r w:rsidRPr="00A33E55">
        <w:rPr>
          <w:rFonts w:ascii="Arial" w:hAnsi="Arial" w:cs="Arial"/>
          <w:sz w:val="20"/>
          <w:szCs w:val="20"/>
          <w:lang w:val="vi-VN"/>
        </w:rPr>
        <w:t>chính nền tảng bán hàng;</w:t>
      </w:r>
    </w:p>
    <w:p w14:paraId="3348E567" w14:textId="77777777" w:rsidR="00A33E55" w:rsidRPr="00A33E55" w:rsidRDefault="00A33E55" w:rsidP="00A33E55">
      <w:pPr>
        <w:pStyle w:val="ListParagraph"/>
        <w:numPr>
          <w:ilvl w:val="0"/>
          <w:numId w:val="23"/>
        </w:numPr>
        <w:jc w:val="both"/>
        <w:rPr>
          <w:rFonts w:ascii="Arial" w:hAnsi="Arial" w:cs="Arial"/>
          <w:sz w:val="20"/>
          <w:szCs w:val="20"/>
          <w:lang w:val="vi-VN"/>
        </w:rPr>
      </w:pPr>
      <w:r w:rsidRPr="00A33E55">
        <w:rPr>
          <w:rFonts w:ascii="Arial" w:hAnsi="Arial" w:cs="Arial"/>
          <w:sz w:val="20"/>
          <w:szCs w:val="20"/>
          <w:lang w:val="vi-VN"/>
        </w:rPr>
        <w:t>Sử dụng thuật ngữ 'bán chạy nhất' hoặc 'phổ biến nhất' nhằm mục đích quảng cáo các sản phẩm/dịch vụ khác nhau</w:t>
      </w:r>
      <w:r w:rsidRPr="00A33E55">
        <w:rPr>
          <w:sz w:val="20"/>
          <w:szCs w:val="20"/>
        </w:rPr>
        <w:t xml:space="preserve"> </w:t>
      </w:r>
      <w:r w:rsidRPr="00A33E55">
        <w:rPr>
          <w:rFonts w:ascii="Arial" w:hAnsi="Arial" w:cs="Arial"/>
          <w:sz w:val="20"/>
          <w:szCs w:val="20"/>
          <w:lang w:val="vi-VN"/>
        </w:rPr>
        <w:t xml:space="preserve">từ chính </w:t>
      </w:r>
      <w:r w:rsidRPr="00A33E55">
        <w:rPr>
          <w:rFonts w:ascii="Arial" w:hAnsi="Arial" w:cs="Arial"/>
          <w:sz w:val="20"/>
          <w:szCs w:val="20"/>
          <w:lang w:val="en-GB"/>
        </w:rPr>
        <w:t>người</w:t>
      </w:r>
      <w:r w:rsidRPr="00A33E55">
        <w:rPr>
          <w:rFonts w:ascii="Arial" w:hAnsi="Arial" w:cs="Arial"/>
          <w:sz w:val="20"/>
          <w:szCs w:val="20"/>
          <w:lang w:val="vi-VN"/>
        </w:rPr>
        <w:t xml:space="preserve"> điều hành nền tảng </w:t>
      </w:r>
      <w:r w:rsidRPr="00A33E55">
        <w:rPr>
          <w:rFonts w:ascii="Arial" w:hAnsi="Arial" w:cs="Arial"/>
          <w:sz w:val="20"/>
          <w:szCs w:val="20"/>
          <w:lang w:val="en-GB"/>
        </w:rPr>
        <w:t xml:space="preserve">trực tuyến </w:t>
      </w:r>
      <w:r w:rsidRPr="00A33E55">
        <w:rPr>
          <w:rFonts w:ascii="Arial" w:hAnsi="Arial" w:cs="Arial"/>
          <w:sz w:val="20"/>
          <w:szCs w:val="20"/>
          <w:lang w:val="vi-VN"/>
        </w:rPr>
        <w:t>hoặc bên thứ ba mà không phân biệt nguồn gốc của chúng;</w:t>
      </w:r>
    </w:p>
    <w:p w14:paraId="0E9566C7" w14:textId="77777777" w:rsidR="00A33E55" w:rsidRPr="00A33E55" w:rsidRDefault="00A33E55" w:rsidP="00A33E55">
      <w:pPr>
        <w:pStyle w:val="ListParagraph"/>
        <w:numPr>
          <w:ilvl w:val="0"/>
          <w:numId w:val="23"/>
        </w:numPr>
        <w:jc w:val="both"/>
        <w:rPr>
          <w:rFonts w:ascii="Arial" w:hAnsi="Arial" w:cs="Arial"/>
          <w:sz w:val="20"/>
          <w:szCs w:val="20"/>
          <w:lang w:val="vi-VN"/>
        </w:rPr>
      </w:pPr>
      <w:r w:rsidRPr="00A33E55">
        <w:rPr>
          <w:rFonts w:ascii="Arial" w:hAnsi="Arial" w:cs="Arial"/>
          <w:sz w:val="20"/>
          <w:szCs w:val="20"/>
          <w:lang w:val="vi-VN"/>
        </w:rPr>
        <w:t xml:space="preserve">Cung cấp các dịch vụ liên quan đến lưu trữ, vận chuyển và quản lý trả lại sản phẩm, bởi </w:t>
      </w:r>
      <w:r w:rsidRPr="00A33E55">
        <w:rPr>
          <w:rFonts w:ascii="Arial" w:hAnsi="Arial" w:cs="Arial"/>
          <w:sz w:val="20"/>
          <w:szCs w:val="20"/>
          <w:lang w:val="en-GB"/>
        </w:rPr>
        <w:t>người</w:t>
      </w:r>
      <w:r w:rsidRPr="00A33E55">
        <w:rPr>
          <w:rFonts w:ascii="Arial" w:hAnsi="Arial" w:cs="Arial"/>
          <w:sz w:val="20"/>
          <w:szCs w:val="20"/>
          <w:lang w:val="vi-VN"/>
        </w:rPr>
        <w:t xml:space="preserve"> điều hành nền tảng</w:t>
      </w:r>
      <w:r w:rsidRPr="00A33E55">
        <w:rPr>
          <w:rFonts w:ascii="Arial" w:hAnsi="Arial" w:cs="Arial"/>
          <w:sz w:val="20"/>
          <w:szCs w:val="20"/>
          <w:lang w:val="en-GB"/>
        </w:rPr>
        <w:t xml:space="preserve"> trực tuyến</w:t>
      </w:r>
      <w:r w:rsidRPr="00A33E55">
        <w:rPr>
          <w:rFonts w:ascii="Arial" w:hAnsi="Arial" w:cs="Arial"/>
          <w:sz w:val="20"/>
          <w:szCs w:val="20"/>
          <w:lang w:val="vi-VN"/>
        </w:rPr>
        <w:t>; và</w:t>
      </w:r>
    </w:p>
    <w:p w14:paraId="262EB920" w14:textId="695F38B1" w:rsidR="00A33E55" w:rsidRPr="0040143C" w:rsidRDefault="00A33E55" w:rsidP="00A33E55">
      <w:pPr>
        <w:pStyle w:val="ListParagraph"/>
        <w:numPr>
          <w:ilvl w:val="0"/>
          <w:numId w:val="23"/>
        </w:numPr>
        <w:jc w:val="both"/>
        <w:rPr>
          <w:rFonts w:ascii="Arial" w:hAnsi="Arial" w:cs="Arial"/>
          <w:sz w:val="20"/>
          <w:szCs w:val="20"/>
          <w:lang w:val="vi-VN"/>
        </w:rPr>
      </w:pPr>
      <w:r w:rsidRPr="00A33E55">
        <w:rPr>
          <w:rFonts w:ascii="Arial" w:hAnsi="Arial" w:cs="Arial"/>
          <w:sz w:val="20"/>
          <w:szCs w:val="20"/>
          <w:lang w:val="vi-VN"/>
        </w:rPr>
        <w:t>Sử dụng dịch vụ tham chiếu internet, theo đó nhà điều hành nền tảng sẽ quảng cáo sản phẩm đã đăng ký nhãn hiệu trên nền tảng của mình, dẫn đến sự liên kết giữa những sản phẩm đã đăng ký nhãn hiệu đó và khả năng mua chúng thông qua thị trường đó.</w:t>
      </w:r>
    </w:p>
    <w:p w14:paraId="0A72F0A5" w14:textId="050EDD88" w:rsidR="00A33E55" w:rsidRPr="00A33E55" w:rsidRDefault="00A33E55" w:rsidP="00A33E55">
      <w:pPr>
        <w:jc w:val="both"/>
        <w:rPr>
          <w:rFonts w:ascii="Arial" w:hAnsi="Arial" w:cs="Arial"/>
          <w:sz w:val="20"/>
          <w:szCs w:val="20"/>
        </w:rPr>
      </w:pPr>
      <w:r w:rsidRPr="00A33E55">
        <w:rPr>
          <w:rFonts w:ascii="Arial" w:hAnsi="Arial" w:cs="Arial"/>
          <w:sz w:val="20"/>
          <w:szCs w:val="20"/>
          <w:lang w:val="vi-VN"/>
        </w:rPr>
        <w:t xml:space="preserve">Căn cứ vào những yếu tố trên, </w:t>
      </w:r>
      <w:r w:rsidRPr="00A33E55">
        <w:rPr>
          <w:rFonts w:ascii="Arial" w:hAnsi="Arial" w:cs="Arial"/>
          <w:sz w:val="20"/>
          <w:szCs w:val="20"/>
        </w:rPr>
        <w:t>Tòa án Công lý Liên minh Châu Âu</w:t>
      </w:r>
      <w:r w:rsidRPr="00A33E55">
        <w:rPr>
          <w:rFonts w:ascii="Arial" w:hAnsi="Arial" w:cs="Arial"/>
          <w:sz w:val="20"/>
          <w:szCs w:val="20"/>
          <w:lang w:val="en-GB"/>
        </w:rPr>
        <w:t xml:space="preserve"> </w:t>
      </w:r>
      <w:r w:rsidRPr="00A33E55">
        <w:rPr>
          <w:rFonts w:ascii="Arial" w:hAnsi="Arial" w:cs="Arial"/>
          <w:sz w:val="20"/>
          <w:szCs w:val="20"/>
          <w:lang w:val="vi-VN"/>
        </w:rPr>
        <w:t xml:space="preserve">đã phán quyết rằng Điều 9(2)(a) của Quy định Nhãn hiệu </w:t>
      </w:r>
      <w:r w:rsidRPr="00A33E55">
        <w:rPr>
          <w:rFonts w:ascii="Arial" w:hAnsi="Arial" w:cs="Arial"/>
          <w:sz w:val="20"/>
          <w:szCs w:val="20"/>
          <w:lang w:val="en-GB"/>
        </w:rPr>
        <w:t xml:space="preserve">Liên minh </w:t>
      </w:r>
      <w:r w:rsidRPr="00A33E55">
        <w:rPr>
          <w:rFonts w:ascii="Arial" w:hAnsi="Arial" w:cs="Arial"/>
          <w:sz w:val="20"/>
          <w:szCs w:val="20"/>
          <w:lang w:val="vi-VN"/>
        </w:rPr>
        <w:t>Châu Âu “</w:t>
      </w:r>
      <w:r w:rsidRPr="00A33E55">
        <w:rPr>
          <w:rFonts w:ascii="Arial" w:hAnsi="Arial" w:cs="Arial"/>
          <w:i/>
          <w:iCs/>
          <w:sz w:val="20"/>
          <w:szCs w:val="20"/>
          <w:lang w:val="vi-VN"/>
        </w:rPr>
        <w:t>phải được hiểu là người điều hành nền tảng bán hàng trực tuyến có thể được coi là tự sử dụng dấu hiệu giống với nhãn hiệu</w:t>
      </w:r>
      <w:r w:rsidRPr="00A33E55">
        <w:rPr>
          <w:rFonts w:ascii="Arial" w:hAnsi="Arial" w:cs="Arial"/>
          <w:i/>
          <w:iCs/>
          <w:sz w:val="20"/>
          <w:szCs w:val="20"/>
          <w:lang w:val="en-GB"/>
        </w:rPr>
        <w:t xml:space="preserve"> Liên minh</w:t>
      </w:r>
      <w:r w:rsidRPr="00A33E55">
        <w:rPr>
          <w:rFonts w:ascii="Arial" w:hAnsi="Arial" w:cs="Arial"/>
          <w:i/>
          <w:iCs/>
          <w:sz w:val="20"/>
          <w:szCs w:val="20"/>
          <w:lang w:val="vi-VN"/>
        </w:rPr>
        <w:t xml:space="preserve"> Châu Âu của người khác [...] nếu người mua có đầy đủ thông tin để nhận thấy được sự liên quan giữa sản phẩm của nền tảng </w:t>
      </w:r>
      <w:r w:rsidRPr="00A33E55">
        <w:rPr>
          <w:rFonts w:ascii="Arial" w:hAnsi="Arial" w:cs="Arial"/>
          <w:i/>
          <w:iCs/>
          <w:sz w:val="20"/>
          <w:szCs w:val="20"/>
          <w:lang w:val="en-GB"/>
        </w:rPr>
        <w:t xml:space="preserve">bán hàng trực tuyến </w:t>
      </w:r>
      <w:r w:rsidRPr="00A33E55">
        <w:rPr>
          <w:rFonts w:ascii="Arial" w:hAnsi="Arial" w:cs="Arial"/>
          <w:i/>
          <w:iCs/>
          <w:sz w:val="20"/>
          <w:szCs w:val="20"/>
          <w:lang w:val="vi-VN"/>
        </w:rPr>
        <w:t>và nhãn hiệu bị vi phạm</w:t>
      </w:r>
      <w:r w:rsidRPr="00A33E55">
        <w:rPr>
          <w:rFonts w:ascii="Arial" w:hAnsi="Arial" w:cs="Arial"/>
          <w:sz w:val="20"/>
          <w:szCs w:val="20"/>
          <w:lang w:val="vi-VN"/>
        </w:rPr>
        <w:t xml:space="preserve">.” </w:t>
      </w:r>
      <w:r w:rsidRPr="00A33E55">
        <w:rPr>
          <w:rFonts w:ascii="Arial" w:hAnsi="Arial" w:cs="Arial"/>
          <w:sz w:val="20"/>
          <w:szCs w:val="20"/>
        </w:rPr>
        <w:t>Cuối cùng, Tòa án Công lý Liên minh Châu Âu đã quyết định rằng người mua có đầy đủ thông tin và quan sát tinh ý sẽ biết được rằng những đôi giày Christian Louboutin đang được bán dưới tên của Amazon hay tên của bên thứ ba.</w:t>
      </w:r>
    </w:p>
    <w:p w14:paraId="26F87089" w14:textId="26556E38" w:rsidR="00A33E55" w:rsidRPr="0040143C" w:rsidRDefault="00A33E55" w:rsidP="00A33E55">
      <w:pPr>
        <w:jc w:val="both"/>
        <w:rPr>
          <w:rFonts w:ascii="Arial" w:hAnsi="Arial" w:cs="Arial"/>
          <w:b/>
          <w:color w:val="2F5496"/>
          <w:sz w:val="20"/>
          <w:szCs w:val="20"/>
        </w:rPr>
      </w:pPr>
      <w:r w:rsidRPr="0040143C">
        <w:rPr>
          <w:rFonts w:ascii="Arial" w:hAnsi="Arial" w:cs="Arial"/>
          <w:b/>
          <w:color w:val="2F5496"/>
          <w:sz w:val="20"/>
          <w:szCs w:val="20"/>
        </w:rPr>
        <w:t>Lời kết</w:t>
      </w:r>
    </w:p>
    <w:p w14:paraId="79CFD45D" w14:textId="00AE5532" w:rsidR="00A33E55" w:rsidRPr="00A33E55" w:rsidRDefault="00A33E55" w:rsidP="00A33E55">
      <w:pPr>
        <w:jc w:val="both"/>
        <w:rPr>
          <w:rFonts w:ascii="Arial" w:eastAsia="Times New Roman" w:hAnsi="Arial" w:cs="Arial"/>
          <w:color w:val="212529"/>
          <w:sz w:val="20"/>
          <w:szCs w:val="20"/>
        </w:rPr>
      </w:pPr>
      <w:r w:rsidRPr="00A33E55">
        <w:rPr>
          <w:rFonts w:ascii="Arial" w:hAnsi="Arial" w:cs="Arial"/>
          <w:sz w:val="20"/>
          <w:szCs w:val="20"/>
        </w:rPr>
        <w:t xml:space="preserve">Trong khi vẫn chưa có quyết định cuối cùng của </w:t>
      </w:r>
      <w:r w:rsidRPr="00A33E55">
        <w:rPr>
          <w:rFonts w:ascii="Arial" w:eastAsia="Times New Roman" w:hAnsi="Arial" w:cs="Arial"/>
          <w:color w:val="212529"/>
          <w:sz w:val="20"/>
          <w:szCs w:val="20"/>
        </w:rPr>
        <w:t xml:space="preserve">các Toà án chuyên trách trong trường hợp này, nhưng điều đáng chú ý là </w:t>
      </w:r>
      <w:r w:rsidRPr="00A33E55">
        <w:rPr>
          <w:rFonts w:ascii="Arial" w:hAnsi="Arial" w:cs="Arial"/>
          <w:sz w:val="20"/>
          <w:szCs w:val="20"/>
        </w:rPr>
        <w:t>Tòa án Công lý Liên minh Châu Âu</w:t>
      </w:r>
      <w:r w:rsidRPr="00A33E55">
        <w:rPr>
          <w:rFonts w:ascii="Arial" w:hAnsi="Arial" w:cs="Arial"/>
          <w:sz w:val="20"/>
          <w:szCs w:val="20"/>
          <w:lang w:val="en-GB"/>
        </w:rPr>
        <w:t xml:space="preserve"> </w:t>
      </w:r>
      <w:r w:rsidRPr="00A33E55">
        <w:rPr>
          <w:rFonts w:ascii="Arial" w:eastAsia="Times New Roman" w:hAnsi="Arial" w:cs="Arial"/>
          <w:color w:val="212529"/>
          <w:sz w:val="20"/>
          <w:szCs w:val="20"/>
        </w:rPr>
        <w:t xml:space="preserve">đã thể hiện quan điểm trái ngược với ý kiến của Luật sư và hệ thống pháp lý trước đây về các vấn đề tương tự, khiến cho các nền tảng bán hàng trực tuyến nơi kết hợp các mô hình bán hàng kiểu mới sẽ dễ đối mặt với trách nhiệm pháp lý cho việc bán </w:t>
      </w:r>
      <w:r w:rsidR="00BE2FE4" w:rsidRPr="00A33E55">
        <w:rPr>
          <w:rFonts w:ascii="Arial" w:hAnsi="Arial" w:cs="Arial"/>
          <w:bCs/>
          <w:noProof/>
          <w:color w:val="C00000"/>
          <w:sz w:val="20"/>
          <w:szCs w:val="20"/>
          <w:lang w:eastAsia="ko-KR"/>
        </w:rPr>
        <w:lastRenderedPageBreak/>
        <mc:AlternateContent>
          <mc:Choice Requires="wps">
            <w:drawing>
              <wp:anchor distT="0" distB="0" distL="114300" distR="114300" simplePos="0" relativeHeight="251667456" behindDoc="0" locked="0" layoutInCell="1" allowOverlap="1" wp14:anchorId="0F64B013" wp14:editId="2948AEE6">
                <wp:simplePos x="0" y="0"/>
                <wp:positionH relativeFrom="page">
                  <wp:posOffset>7143750</wp:posOffset>
                </wp:positionH>
                <wp:positionV relativeFrom="paragraph">
                  <wp:posOffset>-210820</wp:posOffset>
                </wp:positionV>
                <wp:extent cx="308610" cy="10325735"/>
                <wp:effectExtent l="0" t="0" r="15240" b="18415"/>
                <wp:wrapNone/>
                <wp:docPr id="3" name="Rectangle 3"/>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4A7E5F" w14:textId="77777777" w:rsidR="00BE2FE4" w:rsidRPr="00BA68B8" w:rsidRDefault="00BE2FE4" w:rsidP="00BE2FE4">
                            <w:pPr>
                              <w:spacing w:after="0" w:line="240" w:lineRule="auto"/>
                              <w:rPr>
                                <w:rFonts w:ascii="Arial" w:hAnsi="Arial" w:cs="Arial"/>
                                <w:b/>
                                <w:color w:val="FFFFFF" w:themeColor="background1"/>
                                <w:sz w:val="20"/>
                                <w:szCs w:val="20"/>
                              </w:rPr>
                            </w:pPr>
                            <w:r w:rsidRPr="00255160">
                              <w:rPr>
                                <w:rFonts w:ascii="Arial" w:hAnsi="Arial" w:cs="Arial"/>
                                <w:b/>
                                <w:color w:val="FFFFFF" w:themeColor="background1"/>
                                <w:sz w:val="20"/>
                                <w:szCs w:val="20"/>
                              </w:rPr>
                              <w:t>Xâm phạm quyền Sở hữu trí tuệ</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64B013" id="Rectangle 3" o:spid="_x0000_s1029" style="position:absolute;left:0;text-align:left;margin-left:562.5pt;margin-top:-16.6pt;width:24.3pt;height:813.0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" fillcolor="#00b39c" strokecolor="#00b39c" strokeweight="0">
                <v:textbox style="layout-flow:vertical" inset=",1.3mm,1.3mm">
                  <w:txbxContent>
                    <w:p w14:paraId="2F4A7E5F" w14:textId="77777777" w:rsidR="00BE2FE4" w:rsidRPr="00BA68B8" w:rsidRDefault="00BE2FE4" w:rsidP="00BE2FE4">
                      <w:pPr>
                        <w:spacing w:after="0" w:line="240" w:lineRule="auto"/>
                        <w:rPr>
                          <w:rFonts w:ascii="Arial" w:hAnsi="Arial" w:cs="Arial"/>
                          <w:b/>
                          <w:color w:val="FFFFFF" w:themeColor="background1"/>
                          <w:sz w:val="20"/>
                          <w:szCs w:val="20"/>
                        </w:rPr>
                      </w:pPr>
                      <w:r w:rsidRPr="00255160">
                        <w:rPr>
                          <w:rFonts w:ascii="Arial" w:hAnsi="Arial" w:cs="Arial"/>
                          <w:b/>
                          <w:color w:val="FFFFFF" w:themeColor="background1"/>
                          <w:sz w:val="20"/>
                          <w:szCs w:val="20"/>
                        </w:rPr>
                        <w:t>Xâm phạm quyền Sở hữu trí tuệ</w:t>
                      </w:r>
                    </w:p>
                  </w:txbxContent>
                </v:textbox>
                <w10:wrap anchorx="page"/>
              </v:rect>
            </w:pict>
          </mc:Fallback>
        </mc:AlternateContent>
      </w:r>
      <w:r w:rsidRPr="00A33E55">
        <w:rPr>
          <w:rFonts w:ascii="Arial" w:eastAsia="Times New Roman" w:hAnsi="Arial" w:cs="Arial"/>
          <w:color w:val="212529"/>
          <w:sz w:val="20"/>
          <w:szCs w:val="20"/>
        </w:rPr>
        <w:t xml:space="preserve">hàng do bên thứ ba thực hiện trên nền tảng trực tuyến đó. Ngược lại, phán quyết của </w:t>
      </w:r>
      <w:r w:rsidRPr="00A33E55">
        <w:rPr>
          <w:rFonts w:ascii="Arial" w:hAnsi="Arial" w:cs="Arial"/>
          <w:sz w:val="20"/>
          <w:szCs w:val="20"/>
        </w:rPr>
        <w:t>Tòa án Công lý Liên minh Châu Âu</w:t>
      </w:r>
      <w:r w:rsidRPr="00A33E55">
        <w:rPr>
          <w:rFonts w:ascii="Arial" w:eastAsia="Times New Roman" w:hAnsi="Arial" w:cs="Arial"/>
          <w:color w:val="212529"/>
          <w:sz w:val="20"/>
          <w:szCs w:val="20"/>
        </w:rPr>
        <w:t xml:space="preserve"> sẽ mang lại niềm tin cho các chủ sở hữu thương hiệu đang tìm cách bảo vệ tài sản trí tuệ của họ, vì điều này cho phép họ đưa ra các khiếu nại trực tiếp chống lại các nền tảng bán hàng trực tuyến thay vì chống lại những người bán hàng giả riêng lẻ.   </w:t>
      </w:r>
    </w:p>
    <w:p w14:paraId="3C7025B9" w14:textId="0B10A81A" w:rsidR="003E509C" w:rsidRPr="00A33E55" w:rsidRDefault="003E509C" w:rsidP="003E509C">
      <w:pPr>
        <w:spacing w:after="0" w:line="240" w:lineRule="auto"/>
        <w:jc w:val="both"/>
        <w:rPr>
          <w:rFonts w:ascii="Arial" w:hAnsi="Arial" w:cs="Arial"/>
          <w:sz w:val="20"/>
          <w:szCs w:val="20"/>
        </w:rPr>
      </w:pPr>
    </w:p>
    <w:p w14:paraId="7DF4E237" w14:textId="1601B2F4" w:rsidR="00742A2F" w:rsidRPr="00A33E55" w:rsidRDefault="00742A2F" w:rsidP="000B6856">
      <w:pPr>
        <w:spacing w:after="0" w:line="240" w:lineRule="auto"/>
        <w:jc w:val="both"/>
        <w:rPr>
          <w:rFonts w:ascii="Arial" w:eastAsia="Times New Roman" w:hAnsi="Arial" w:cs="Arial"/>
          <w:sz w:val="20"/>
          <w:szCs w:val="20"/>
        </w:rPr>
      </w:pPr>
    </w:p>
    <w:bookmarkEnd w:id="0"/>
    <w:p w14:paraId="662D02E8" w14:textId="409843B0" w:rsidR="0091740F" w:rsidRPr="00A33E55" w:rsidRDefault="0040143C" w:rsidP="0091740F">
      <w:pPr>
        <w:spacing w:after="0" w:line="240" w:lineRule="auto"/>
        <w:jc w:val="right"/>
        <w:rPr>
          <w:rFonts w:ascii="Arial" w:hAnsi="Arial" w:cs="Arial"/>
          <w:b/>
          <w:sz w:val="20"/>
          <w:szCs w:val="20"/>
        </w:rPr>
      </w:pPr>
      <w:r w:rsidRPr="0040143C">
        <w:rPr>
          <w:rFonts w:ascii="Arial" w:hAnsi="Arial" w:cs="Arial"/>
          <w:b/>
          <w:sz w:val="20"/>
          <w:szCs w:val="20"/>
        </w:rPr>
        <w:t>Dịch bởi: Nguyễn Vũ Quân – Partner &amp; IP Attorney</w:t>
      </w:r>
    </w:p>
    <w:p w14:paraId="67D57484" w14:textId="001E016A" w:rsidR="0091740F" w:rsidRPr="0040143C" w:rsidRDefault="0040143C" w:rsidP="0091740F">
      <w:pPr>
        <w:spacing w:after="0" w:line="240" w:lineRule="auto"/>
        <w:jc w:val="right"/>
        <w:rPr>
          <w:rFonts w:ascii="Arial" w:hAnsi="Arial" w:cs="Arial"/>
          <w:b/>
          <w:i/>
          <w:sz w:val="20"/>
          <w:szCs w:val="20"/>
        </w:rPr>
      </w:pPr>
      <w:r w:rsidRPr="0040143C">
        <w:rPr>
          <w:rFonts w:ascii="Arial" w:hAnsi="Arial" w:cs="Arial"/>
          <w:b/>
          <w:i/>
          <w:sz w:val="20"/>
          <w:szCs w:val="20"/>
        </w:rPr>
        <w:t>(nguồn: Ganado Advocates)</w:t>
      </w:r>
    </w:p>
    <w:p w14:paraId="2D919B28" w14:textId="77777777" w:rsidR="0040143C" w:rsidRDefault="0040143C" w:rsidP="0091740F">
      <w:pPr>
        <w:spacing w:after="0" w:line="240" w:lineRule="auto"/>
        <w:jc w:val="both"/>
        <w:rPr>
          <w:rFonts w:ascii="Arial" w:eastAsia="Times New Roman" w:hAnsi="Arial" w:cs="Arial"/>
          <w:sz w:val="20"/>
          <w:szCs w:val="20"/>
          <w:lang w:eastAsia="ko-KR"/>
        </w:rPr>
      </w:pPr>
    </w:p>
    <w:p w14:paraId="02E3DDEC" w14:textId="1A28E2CD" w:rsidR="0091740F" w:rsidRPr="00A33E55" w:rsidRDefault="0091740F" w:rsidP="0091740F">
      <w:pPr>
        <w:spacing w:after="0" w:line="240" w:lineRule="auto"/>
        <w:jc w:val="both"/>
        <w:rPr>
          <w:rFonts w:ascii="Arial" w:eastAsia="Times New Roman" w:hAnsi="Arial" w:cs="Arial"/>
          <w:sz w:val="20"/>
          <w:szCs w:val="20"/>
          <w:lang w:eastAsia="ko-KR"/>
        </w:rPr>
      </w:pPr>
      <w:r w:rsidRPr="00A33E55">
        <w:rPr>
          <w:rFonts w:ascii="Arial" w:hAnsi="Arial" w:cs="Arial"/>
          <w:noProof/>
          <w:sz w:val="20"/>
          <w:szCs w:val="20"/>
          <w:lang w:eastAsia="ko-KR"/>
        </w:rPr>
        <mc:AlternateContent>
          <mc:Choice Requires="wps">
            <w:drawing>
              <wp:anchor distT="0" distB="0" distL="114300" distR="114300" simplePos="0" relativeHeight="251663360" behindDoc="0" locked="0" layoutInCell="1" allowOverlap="1" wp14:anchorId="534D4560" wp14:editId="566B5EC2">
                <wp:simplePos x="0" y="0"/>
                <wp:positionH relativeFrom="column">
                  <wp:posOffset>3810</wp:posOffset>
                </wp:positionH>
                <wp:positionV relativeFrom="paragraph">
                  <wp:posOffset>163831</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5E85C0A2" w14:textId="77777777" w:rsidR="0091740F" w:rsidRPr="008D383A" w:rsidRDefault="0091740F" w:rsidP="0091740F">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4C3BEA95" w14:textId="513D0FE8" w:rsidR="0091740F" w:rsidRPr="00DF069F" w:rsidRDefault="00D0238D" w:rsidP="0091740F">
                            <w:pPr>
                              <w:spacing w:before="20" w:afterLines="20" w:after="48" w:line="240" w:lineRule="auto"/>
                              <w:ind w:left="142"/>
                              <w:rPr>
                                <w:rFonts w:ascii="Arial" w:hAnsi="Arial" w:cs="Arial"/>
                                <w:b/>
                                <w:color w:val="000000" w:themeColor="text1"/>
                                <w:sz w:val="20"/>
                                <w:szCs w:val="20"/>
                              </w:rPr>
                            </w:pPr>
                            <w:hyperlink r:id="rId7" w:history="1">
                              <w:r w:rsidR="0091740F" w:rsidRPr="00DF069F">
                                <w:rPr>
                                  <w:rStyle w:val="Hyperlink"/>
                                  <w:rFonts w:ascii="Arial" w:hAnsi="Arial" w:cs="Arial"/>
                                  <w:b/>
                                  <w:color w:val="000000" w:themeColor="text1"/>
                                  <w:sz w:val="20"/>
                                  <w:szCs w:val="20"/>
                                  <w:u w:val="none"/>
                                </w:rPr>
                                <w:t>KENFOX IP &amp; Law Office</w:t>
                              </w:r>
                            </w:hyperlink>
                          </w:p>
                          <w:p w14:paraId="31A326E7" w14:textId="77777777" w:rsidR="0091740F" w:rsidRPr="00B31724" w:rsidRDefault="0091740F" w:rsidP="0091740F">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5B183E6A" w14:textId="77777777" w:rsidR="0091740F" w:rsidRPr="00FF333E" w:rsidRDefault="0091740F" w:rsidP="0091740F">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4C1F41D2" w14:textId="77777777" w:rsidR="0091740F" w:rsidRPr="00B31724" w:rsidRDefault="0091740F" w:rsidP="0091740F">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D4560" id="Rectangle 48" o:spid="_x0000_s1030" style="position:absolute;left:0;text-align:left;margin-left:.3pt;margin-top:12.9pt;width:264pt;height: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" fillcolor="#d8d8d8 [2732]" strokecolor="#ed7d31 [3205]">
                <v:textbox>
                  <w:txbxContent>
                    <w:p w14:paraId="5E85C0A2" w14:textId="77777777" w:rsidR="0091740F" w:rsidRPr="008D383A" w:rsidRDefault="0091740F" w:rsidP="0091740F">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4C3BEA95" w14:textId="513D0FE8" w:rsidR="0091740F" w:rsidRPr="00DF069F" w:rsidRDefault="00FA7E6E" w:rsidP="0091740F">
                      <w:pPr>
                        <w:spacing w:before="20" w:afterLines="20" w:after="48" w:line="240" w:lineRule="auto"/>
                        <w:ind w:left="142"/>
                        <w:rPr>
                          <w:rFonts w:ascii="Arial" w:hAnsi="Arial" w:cs="Arial"/>
                          <w:b/>
                          <w:color w:val="000000" w:themeColor="text1"/>
                          <w:sz w:val="20"/>
                          <w:szCs w:val="20"/>
                        </w:rPr>
                      </w:pPr>
                      <w:hyperlink r:id="rId8" w:history="1">
                        <w:r w:rsidR="0091740F" w:rsidRPr="00DF069F">
                          <w:rPr>
                            <w:rStyle w:val="Hyperlink"/>
                            <w:rFonts w:ascii="Arial" w:hAnsi="Arial" w:cs="Arial"/>
                            <w:b/>
                            <w:color w:val="000000" w:themeColor="text1"/>
                            <w:sz w:val="20"/>
                            <w:szCs w:val="20"/>
                            <w:u w:val="none"/>
                          </w:rPr>
                          <w:t>KENFOX IP &amp; Law Office</w:t>
                        </w:r>
                      </w:hyperlink>
                    </w:p>
                    <w:p w14:paraId="31A326E7" w14:textId="77777777" w:rsidR="0091740F" w:rsidRPr="00B31724" w:rsidRDefault="0091740F" w:rsidP="0091740F">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5B183E6A" w14:textId="77777777" w:rsidR="0091740F" w:rsidRPr="00FF333E" w:rsidRDefault="0091740F" w:rsidP="0091740F">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4C1F41D2" w14:textId="77777777" w:rsidR="0091740F" w:rsidRPr="00B31724" w:rsidRDefault="0091740F" w:rsidP="0091740F">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7AC564C6" w14:textId="77777777" w:rsidR="0091740F" w:rsidRPr="00A33E55" w:rsidRDefault="0091740F" w:rsidP="0091740F">
      <w:pPr>
        <w:spacing w:after="0" w:line="240" w:lineRule="auto"/>
        <w:rPr>
          <w:rFonts w:ascii="Arial" w:hAnsi="Arial" w:cs="Arial"/>
          <w:sz w:val="20"/>
          <w:szCs w:val="20"/>
        </w:rPr>
      </w:pPr>
    </w:p>
    <w:p w14:paraId="01B7E910" w14:textId="77777777" w:rsidR="0091740F" w:rsidRPr="00A33E55" w:rsidRDefault="0091740F" w:rsidP="0091740F">
      <w:pPr>
        <w:rPr>
          <w:rFonts w:ascii="Arial" w:hAnsi="Arial" w:cs="Arial"/>
          <w:sz w:val="20"/>
          <w:szCs w:val="20"/>
        </w:rPr>
      </w:pPr>
    </w:p>
    <w:p w14:paraId="0774A8DD" w14:textId="77777777" w:rsidR="0091740F" w:rsidRPr="00A33E55" w:rsidRDefault="0091740F" w:rsidP="0091740F">
      <w:pPr>
        <w:spacing w:after="0" w:line="240" w:lineRule="auto"/>
        <w:jc w:val="both"/>
        <w:rPr>
          <w:rFonts w:ascii="Arial" w:eastAsia="Times New Roman" w:hAnsi="Arial" w:cs="Arial"/>
          <w:sz w:val="20"/>
          <w:szCs w:val="20"/>
          <w:lang w:eastAsia="ko-KR"/>
        </w:rPr>
      </w:pPr>
    </w:p>
    <w:p w14:paraId="217ED38C" w14:textId="77777777" w:rsidR="0091740F" w:rsidRPr="00A33E55" w:rsidRDefault="0091740F" w:rsidP="0091740F">
      <w:pPr>
        <w:spacing w:after="0" w:line="240" w:lineRule="auto"/>
        <w:rPr>
          <w:rFonts w:ascii="Arial" w:hAnsi="Arial" w:cs="Arial"/>
          <w:sz w:val="20"/>
          <w:szCs w:val="20"/>
        </w:rPr>
      </w:pPr>
    </w:p>
    <w:p w14:paraId="1986613E" w14:textId="77777777" w:rsidR="0091740F" w:rsidRPr="00A33E55" w:rsidRDefault="0091740F" w:rsidP="0091740F">
      <w:pPr>
        <w:rPr>
          <w:rFonts w:ascii="Arial" w:hAnsi="Arial" w:cs="Arial"/>
          <w:sz w:val="20"/>
          <w:szCs w:val="20"/>
        </w:rPr>
      </w:pPr>
    </w:p>
    <w:p w14:paraId="457D40A9" w14:textId="6DBA6A12" w:rsidR="00077D04" w:rsidRPr="00A33E55" w:rsidRDefault="00077D04" w:rsidP="009A357F">
      <w:pPr>
        <w:pStyle w:val="NormalWeb"/>
        <w:spacing w:before="0" w:beforeAutospacing="0" w:after="0" w:afterAutospacing="0"/>
        <w:ind w:right="-68"/>
        <w:jc w:val="both"/>
        <w:rPr>
          <w:rFonts w:ascii="Arial" w:hAnsi="Arial" w:cs="Arial"/>
          <w:sz w:val="20"/>
          <w:szCs w:val="20"/>
        </w:rPr>
      </w:pPr>
    </w:p>
    <w:p w14:paraId="238433B2" w14:textId="49EA1322" w:rsidR="00077D04" w:rsidRPr="00A33E55" w:rsidRDefault="00077D04" w:rsidP="009A357F">
      <w:pPr>
        <w:pStyle w:val="NormalWeb"/>
        <w:spacing w:before="0" w:beforeAutospacing="0" w:after="0" w:afterAutospacing="0"/>
        <w:ind w:right="-68"/>
        <w:jc w:val="both"/>
        <w:rPr>
          <w:rFonts w:ascii="Arial" w:hAnsi="Arial" w:cs="Arial"/>
          <w:sz w:val="20"/>
          <w:szCs w:val="20"/>
        </w:rPr>
      </w:pPr>
    </w:p>
    <w:p w14:paraId="33ECD8D1" w14:textId="674DA847" w:rsidR="00077D04" w:rsidRPr="00A33E55" w:rsidRDefault="00077D04" w:rsidP="009A357F">
      <w:pPr>
        <w:pStyle w:val="NormalWeb"/>
        <w:spacing w:before="0" w:beforeAutospacing="0" w:after="0" w:afterAutospacing="0"/>
        <w:ind w:right="-68"/>
        <w:jc w:val="both"/>
        <w:rPr>
          <w:rFonts w:ascii="Arial" w:hAnsi="Arial" w:cs="Arial"/>
          <w:sz w:val="20"/>
          <w:szCs w:val="20"/>
        </w:rPr>
      </w:pPr>
    </w:p>
    <w:bookmarkEnd w:id="1"/>
    <w:p w14:paraId="48D045A8" w14:textId="77777777" w:rsidR="00077D04" w:rsidRPr="00A33E55" w:rsidRDefault="00077D04" w:rsidP="009A357F">
      <w:pPr>
        <w:spacing w:after="0" w:line="240" w:lineRule="auto"/>
        <w:jc w:val="both"/>
        <w:rPr>
          <w:rFonts w:ascii="Arial" w:hAnsi="Arial" w:cs="Arial"/>
          <w:sz w:val="20"/>
          <w:szCs w:val="20"/>
          <w:lang w:val="en-GB"/>
        </w:rPr>
      </w:pPr>
    </w:p>
    <w:sectPr w:rsidR="00077D04" w:rsidRPr="00A33E55" w:rsidSect="00C218CC">
      <w:footerReference w:type="default" r:id="rId9"/>
      <w:pgSz w:w="11906" w:h="16838" w:code="9"/>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8D9A92" w14:textId="77777777" w:rsidR="00D0238D" w:rsidRDefault="00D0238D" w:rsidP="00E57781">
      <w:pPr>
        <w:spacing w:after="0" w:line="240" w:lineRule="auto"/>
      </w:pPr>
      <w:r>
        <w:separator/>
      </w:r>
    </w:p>
  </w:endnote>
  <w:endnote w:type="continuationSeparator" w:id="0">
    <w:p w14:paraId="765BF8FE" w14:textId="77777777" w:rsidR="00D0238D" w:rsidRDefault="00D0238D" w:rsidP="00E57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01327" w14:textId="093B7C64" w:rsidR="00E57781" w:rsidRPr="00E57781" w:rsidRDefault="00D0238D" w:rsidP="00E57781">
    <w:pPr>
      <w:pStyle w:val="Footer"/>
      <w:pBdr>
        <w:top w:val="single" w:sz="4" w:space="8" w:color="4472C4" w:themeColor="accent1"/>
      </w:pBdr>
      <w:tabs>
        <w:tab w:val="clear" w:pos="4680"/>
        <w:tab w:val="clear" w:pos="9360"/>
      </w:tabs>
      <w:spacing w:before="360"/>
      <w:contextualSpacing/>
      <w:rPr>
        <w:rFonts w:ascii="Arial" w:hAnsi="Arial" w:cs="Arial"/>
        <w:noProof/>
        <w:color w:val="404040" w:themeColor="text1" w:themeTint="BF"/>
        <w:sz w:val="20"/>
        <w:szCs w:val="20"/>
      </w:rPr>
    </w:pPr>
    <w:hyperlink r:id="rId1" w:history="1">
      <w:r w:rsidR="00E57781" w:rsidRPr="00357E95">
        <w:rPr>
          <w:rStyle w:val="Hyperlink"/>
          <w:rFonts w:ascii="Arial" w:hAnsi="Arial" w:cs="Arial"/>
          <w:noProof/>
          <w:sz w:val="20"/>
          <w:szCs w:val="20"/>
          <w:u w:val="none"/>
        </w:rPr>
        <w:t>KENFOX IP &amp; Law Office</w:t>
      </w:r>
    </w:hyperlink>
    <w:r w:rsidR="00E57781" w:rsidRPr="00357E95">
      <w:rPr>
        <w:rFonts w:ascii="Arial" w:hAnsi="Arial" w:cs="Arial"/>
        <w:noProof/>
        <w:color w:val="404040" w:themeColor="text1" w:themeTint="BF"/>
        <w:sz w:val="20"/>
        <w:szCs w:val="20"/>
      </w:rPr>
      <w:t xml:space="preserve">                                                                                                                 </w:t>
    </w:r>
    <w:r w:rsidR="004144A5" w:rsidRPr="00357E95">
      <w:rPr>
        <w:rFonts w:ascii="Arial" w:hAnsi="Arial" w:cs="Arial"/>
        <w:noProof/>
        <w:color w:val="404040" w:themeColor="text1" w:themeTint="BF"/>
        <w:sz w:val="20"/>
        <w:szCs w:val="20"/>
      </w:rPr>
      <w:t xml:space="preserve">   </w:t>
    </w:r>
    <w:r w:rsidR="00E57781" w:rsidRPr="00357E95">
      <w:rPr>
        <w:rFonts w:ascii="Arial" w:hAnsi="Arial" w:cs="Arial"/>
        <w:noProof/>
        <w:color w:val="404040" w:themeColor="text1" w:themeTint="BF"/>
        <w:sz w:val="20"/>
        <w:szCs w:val="20"/>
      </w:rPr>
      <w:t xml:space="preserve">   </w:t>
    </w:r>
    <w:r w:rsidR="00E57781" w:rsidRPr="00E57781">
      <w:rPr>
        <w:rFonts w:ascii="Arial" w:hAnsi="Arial" w:cs="Arial"/>
        <w:noProof/>
        <w:color w:val="404040" w:themeColor="text1" w:themeTint="BF"/>
        <w:sz w:val="20"/>
        <w:szCs w:val="20"/>
      </w:rPr>
      <w:fldChar w:fldCharType="begin"/>
    </w:r>
    <w:r w:rsidR="00E57781" w:rsidRPr="00E57781">
      <w:rPr>
        <w:rFonts w:ascii="Arial" w:hAnsi="Arial" w:cs="Arial"/>
        <w:noProof/>
        <w:color w:val="404040" w:themeColor="text1" w:themeTint="BF"/>
        <w:sz w:val="20"/>
        <w:szCs w:val="20"/>
      </w:rPr>
      <w:instrText xml:space="preserve"> PAGE   \* MERGEFORMAT </w:instrText>
    </w:r>
    <w:r w:rsidR="00E57781" w:rsidRPr="00E57781">
      <w:rPr>
        <w:rFonts w:ascii="Arial" w:hAnsi="Arial" w:cs="Arial"/>
        <w:noProof/>
        <w:color w:val="404040" w:themeColor="text1" w:themeTint="BF"/>
        <w:sz w:val="20"/>
        <w:szCs w:val="20"/>
      </w:rPr>
      <w:fldChar w:fldCharType="separate"/>
    </w:r>
    <w:r w:rsidR="00E57781" w:rsidRPr="00E57781">
      <w:rPr>
        <w:rFonts w:ascii="Arial" w:hAnsi="Arial" w:cs="Arial"/>
        <w:noProof/>
        <w:color w:val="404040" w:themeColor="text1" w:themeTint="BF"/>
        <w:sz w:val="20"/>
        <w:szCs w:val="20"/>
      </w:rPr>
      <w:t>2</w:t>
    </w:r>
    <w:r w:rsidR="00E57781" w:rsidRPr="00E57781">
      <w:rPr>
        <w:rFonts w:ascii="Arial" w:hAnsi="Arial" w:cs="Arial"/>
        <w:noProof/>
        <w:color w:val="404040" w:themeColor="text1" w:themeTint="BF"/>
        <w:sz w:val="20"/>
        <w:szCs w:val="20"/>
      </w:rPr>
      <w:fldChar w:fldCharType="end"/>
    </w:r>
  </w:p>
  <w:p w14:paraId="6911518B" w14:textId="77777777" w:rsidR="00E57781" w:rsidRDefault="00E57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A3636E" w14:textId="77777777" w:rsidR="00D0238D" w:rsidRDefault="00D0238D" w:rsidP="00E57781">
      <w:pPr>
        <w:spacing w:after="0" w:line="240" w:lineRule="auto"/>
      </w:pPr>
      <w:r>
        <w:separator/>
      </w:r>
    </w:p>
  </w:footnote>
  <w:footnote w:type="continuationSeparator" w:id="0">
    <w:p w14:paraId="0C002924" w14:textId="77777777" w:rsidR="00D0238D" w:rsidRDefault="00D0238D" w:rsidP="00E577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78FF"/>
    <w:multiLevelType w:val="hybridMultilevel"/>
    <w:tmpl w:val="3F0AF1CE"/>
    <w:lvl w:ilvl="0" w:tplc="E9D8A1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92228"/>
    <w:multiLevelType w:val="hybridMultilevel"/>
    <w:tmpl w:val="FD78A6AC"/>
    <w:lvl w:ilvl="0" w:tplc="82488B5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4106D"/>
    <w:multiLevelType w:val="hybridMultilevel"/>
    <w:tmpl w:val="F190A61A"/>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31379"/>
    <w:multiLevelType w:val="hybridMultilevel"/>
    <w:tmpl w:val="72860F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DE5451"/>
    <w:multiLevelType w:val="hybridMultilevel"/>
    <w:tmpl w:val="FE8E49F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ED2A64"/>
    <w:multiLevelType w:val="hybridMultilevel"/>
    <w:tmpl w:val="4C1AF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3D1B79"/>
    <w:multiLevelType w:val="hybridMultilevel"/>
    <w:tmpl w:val="B49EAFC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F274F3"/>
    <w:multiLevelType w:val="hybridMultilevel"/>
    <w:tmpl w:val="99FA75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0C7A10"/>
    <w:multiLevelType w:val="hybridMultilevel"/>
    <w:tmpl w:val="20D6FA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CF5730"/>
    <w:multiLevelType w:val="hybridMultilevel"/>
    <w:tmpl w:val="BBEA7C40"/>
    <w:lvl w:ilvl="0" w:tplc="49B65F24">
      <w:start w:val="1"/>
      <w:numFmt w:val="decimal"/>
      <w:lvlText w:val="%1."/>
      <w:lvlJc w:val="left"/>
      <w:pPr>
        <w:ind w:left="450" w:hanging="360"/>
      </w:pPr>
      <w:rPr>
        <w:b w:val="0"/>
        <w:bCs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23286546"/>
    <w:multiLevelType w:val="multilevel"/>
    <w:tmpl w:val="FF1205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4B736E3"/>
    <w:multiLevelType w:val="hybridMultilevel"/>
    <w:tmpl w:val="E3748B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D53DA5"/>
    <w:multiLevelType w:val="hybridMultilevel"/>
    <w:tmpl w:val="B49EAFC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E20406"/>
    <w:multiLevelType w:val="hybridMultilevel"/>
    <w:tmpl w:val="F41C61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D66B39"/>
    <w:multiLevelType w:val="hybridMultilevel"/>
    <w:tmpl w:val="8A069F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2C67EF"/>
    <w:multiLevelType w:val="hybridMultilevel"/>
    <w:tmpl w:val="7CB805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EE2812"/>
    <w:multiLevelType w:val="hybridMultilevel"/>
    <w:tmpl w:val="F0348E94"/>
    <w:lvl w:ilvl="0" w:tplc="911C6E8A">
      <w:start w:val="1"/>
      <w:numFmt w:val="lowerRoman"/>
      <w:lvlText w:val="(%1)"/>
      <w:lvlJc w:val="left"/>
      <w:pPr>
        <w:ind w:left="720" w:hanging="360"/>
      </w:pPr>
      <w:rPr>
        <w:rFonts w:ascii="Arial" w:hAnsi="Arial" w:cs="Arial" w:hint="default"/>
        <w:color w:val="0000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D41418"/>
    <w:multiLevelType w:val="hybridMultilevel"/>
    <w:tmpl w:val="45183B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101F96"/>
    <w:multiLevelType w:val="hybridMultilevel"/>
    <w:tmpl w:val="F0908046"/>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7D945D3"/>
    <w:multiLevelType w:val="hybridMultilevel"/>
    <w:tmpl w:val="F0908046"/>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7C321B"/>
    <w:multiLevelType w:val="hybridMultilevel"/>
    <w:tmpl w:val="FC8648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944786"/>
    <w:multiLevelType w:val="multilevel"/>
    <w:tmpl w:val="3814D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B8647B1"/>
    <w:multiLevelType w:val="hybridMultilevel"/>
    <w:tmpl w:val="230AA484"/>
    <w:lvl w:ilvl="0" w:tplc="E9D8A1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9"/>
  </w:num>
  <w:num w:numId="3">
    <w:abstractNumId w:val="10"/>
  </w:num>
  <w:num w:numId="4">
    <w:abstractNumId w:val="4"/>
  </w:num>
  <w:num w:numId="5">
    <w:abstractNumId w:val="6"/>
  </w:num>
  <w:num w:numId="6">
    <w:abstractNumId w:val="12"/>
  </w:num>
  <w:num w:numId="7">
    <w:abstractNumId w:val="1"/>
  </w:num>
  <w:num w:numId="8">
    <w:abstractNumId w:val="14"/>
  </w:num>
  <w:num w:numId="9">
    <w:abstractNumId w:val="2"/>
  </w:num>
  <w:num w:numId="10">
    <w:abstractNumId w:val="21"/>
  </w:num>
  <w:num w:numId="11">
    <w:abstractNumId w:val="11"/>
  </w:num>
  <w:num w:numId="12">
    <w:abstractNumId w:val="0"/>
  </w:num>
  <w:num w:numId="13">
    <w:abstractNumId w:val="9"/>
  </w:num>
  <w:num w:numId="14">
    <w:abstractNumId w:val="20"/>
  </w:num>
  <w:num w:numId="15">
    <w:abstractNumId w:val="7"/>
  </w:num>
  <w:num w:numId="16">
    <w:abstractNumId w:val="8"/>
  </w:num>
  <w:num w:numId="17">
    <w:abstractNumId w:val="3"/>
  </w:num>
  <w:num w:numId="18">
    <w:abstractNumId w:val="13"/>
  </w:num>
  <w:num w:numId="19">
    <w:abstractNumId w:val="17"/>
  </w:num>
  <w:num w:numId="20">
    <w:abstractNumId w:val="22"/>
  </w:num>
  <w:num w:numId="21">
    <w:abstractNumId w:val="16"/>
  </w:num>
  <w:num w:numId="22">
    <w:abstractNumId w:val="5"/>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15C"/>
    <w:rsid w:val="00003842"/>
    <w:rsid w:val="00047A0D"/>
    <w:rsid w:val="00077D04"/>
    <w:rsid w:val="00087948"/>
    <w:rsid w:val="000927EF"/>
    <w:rsid w:val="000B6856"/>
    <w:rsid w:val="000C15C0"/>
    <w:rsid w:val="000D5191"/>
    <w:rsid w:val="000F2B21"/>
    <w:rsid w:val="00125C38"/>
    <w:rsid w:val="001435C0"/>
    <w:rsid w:val="00146EE9"/>
    <w:rsid w:val="00154F0D"/>
    <w:rsid w:val="00187BFC"/>
    <w:rsid w:val="001B61FF"/>
    <w:rsid w:val="001D0B67"/>
    <w:rsid w:val="001D4C1F"/>
    <w:rsid w:val="001D59D4"/>
    <w:rsid w:val="001F74C2"/>
    <w:rsid w:val="00216422"/>
    <w:rsid w:val="00234134"/>
    <w:rsid w:val="00240AEB"/>
    <w:rsid w:val="00242098"/>
    <w:rsid w:val="00253743"/>
    <w:rsid w:val="00255160"/>
    <w:rsid w:val="00272804"/>
    <w:rsid w:val="00275E91"/>
    <w:rsid w:val="00276D02"/>
    <w:rsid w:val="00285F5C"/>
    <w:rsid w:val="002E575F"/>
    <w:rsid w:val="00313195"/>
    <w:rsid w:val="00321A9E"/>
    <w:rsid w:val="0033521E"/>
    <w:rsid w:val="00357E95"/>
    <w:rsid w:val="00396A1B"/>
    <w:rsid w:val="003A5F95"/>
    <w:rsid w:val="003C1D82"/>
    <w:rsid w:val="003E509C"/>
    <w:rsid w:val="003E5AFB"/>
    <w:rsid w:val="003F65EB"/>
    <w:rsid w:val="0040143C"/>
    <w:rsid w:val="00405F9C"/>
    <w:rsid w:val="004144A5"/>
    <w:rsid w:val="004731D4"/>
    <w:rsid w:val="00487067"/>
    <w:rsid w:val="00502998"/>
    <w:rsid w:val="0051768B"/>
    <w:rsid w:val="0052015C"/>
    <w:rsid w:val="00531F0D"/>
    <w:rsid w:val="005479E4"/>
    <w:rsid w:val="005529BC"/>
    <w:rsid w:val="0057237B"/>
    <w:rsid w:val="005A0E45"/>
    <w:rsid w:val="006005C9"/>
    <w:rsid w:val="0061522B"/>
    <w:rsid w:val="0064337B"/>
    <w:rsid w:val="006558CB"/>
    <w:rsid w:val="00683FB4"/>
    <w:rsid w:val="006A0298"/>
    <w:rsid w:val="006E100A"/>
    <w:rsid w:val="0072710A"/>
    <w:rsid w:val="0073186B"/>
    <w:rsid w:val="00742A2F"/>
    <w:rsid w:val="00772784"/>
    <w:rsid w:val="00776ABB"/>
    <w:rsid w:val="007B682C"/>
    <w:rsid w:val="007F1AA2"/>
    <w:rsid w:val="00834613"/>
    <w:rsid w:val="00841D28"/>
    <w:rsid w:val="00872C22"/>
    <w:rsid w:val="008A20CE"/>
    <w:rsid w:val="008A5359"/>
    <w:rsid w:val="00914650"/>
    <w:rsid w:val="0091740F"/>
    <w:rsid w:val="00950BD0"/>
    <w:rsid w:val="00986E67"/>
    <w:rsid w:val="00996FAC"/>
    <w:rsid w:val="009A357F"/>
    <w:rsid w:val="009C0EB6"/>
    <w:rsid w:val="009D368A"/>
    <w:rsid w:val="00A201B3"/>
    <w:rsid w:val="00A25188"/>
    <w:rsid w:val="00A335E7"/>
    <w:rsid w:val="00A33E55"/>
    <w:rsid w:val="00A924A4"/>
    <w:rsid w:val="00AC4E64"/>
    <w:rsid w:val="00AF0EC5"/>
    <w:rsid w:val="00AF7F3D"/>
    <w:rsid w:val="00B25E48"/>
    <w:rsid w:val="00B41A3D"/>
    <w:rsid w:val="00B5732E"/>
    <w:rsid w:val="00B66E4F"/>
    <w:rsid w:val="00B77947"/>
    <w:rsid w:val="00BB26A1"/>
    <w:rsid w:val="00BE2FE4"/>
    <w:rsid w:val="00C02E1E"/>
    <w:rsid w:val="00C200E1"/>
    <w:rsid w:val="00C218CC"/>
    <w:rsid w:val="00C35C43"/>
    <w:rsid w:val="00C41FBD"/>
    <w:rsid w:val="00C5147E"/>
    <w:rsid w:val="00C9104F"/>
    <w:rsid w:val="00CD712A"/>
    <w:rsid w:val="00D0238D"/>
    <w:rsid w:val="00D1374F"/>
    <w:rsid w:val="00D16F5D"/>
    <w:rsid w:val="00D420CE"/>
    <w:rsid w:val="00D431A6"/>
    <w:rsid w:val="00D92F03"/>
    <w:rsid w:val="00DB06F3"/>
    <w:rsid w:val="00DE6148"/>
    <w:rsid w:val="00DF069F"/>
    <w:rsid w:val="00E20E31"/>
    <w:rsid w:val="00E304DC"/>
    <w:rsid w:val="00E51CB7"/>
    <w:rsid w:val="00E57781"/>
    <w:rsid w:val="00E6401E"/>
    <w:rsid w:val="00E93403"/>
    <w:rsid w:val="00EB2C62"/>
    <w:rsid w:val="00EF2CB1"/>
    <w:rsid w:val="00EF6B7E"/>
    <w:rsid w:val="00F12983"/>
    <w:rsid w:val="00F212E1"/>
    <w:rsid w:val="00F2178D"/>
    <w:rsid w:val="00F45668"/>
    <w:rsid w:val="00F80AC8"/>
    <w:rsid w:val="00FA7E6E"/>
    <w:rsid w:val="00FD2150"/>
    <w:rsid w:val="00FF4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0DC2D"/>
  <w15:chartTrackingRefBased/>
  <w15:docId w15:val="{B8BCA01E-F4CB-48B2-9B19-BA7696E0C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077D04"/>
    <w:pPr>
      <w:keepNext/>
      <w:spacing w:before="240" w:after="60" w:line="240" w:lineRule="auto"/>
      <w:outlineLvl w:val="0"/>
    </w:pPr>
    <w:rPr>
      <w:rFonts w:ascii="Calibri Light" w:eastAsia="Times New Roman" w:hAnsi="Calibri Light" w:cs="Times New Roman"/>
      <w:b/>
      <w:bCs/>
      <w:kern w:val="32"/>
      <w:sz w:val="32"/>
      <w:szCs w:val="32"/>
    </w:rPr>
  </w:style>
  <w:style w:type="paragraph" w:styleId="Heading3">
    <w:name w:val="heading 3"/>
    <w:basedOn w:val="Normal"/>
    <w:next w:val="Normal"/>
    <w:link w:val="Heading3Char"/>
    <w:unhideWhenUsed/>
    <w:qFormat/>
    <w:rsid w:val="00077D04"/>
    <w:pPr>
      <w:keepNext/>
      <w:spacing w:before="240" w:after="60" w:line="240" w:lineRule="auto"/>
      <w:outlineLvl w:val="2"/>
    </w:pPr>
    <w:rPr>
      <w:rFonts w:ascii="Calibri Light" w:eastAsia="Times New Roman" w:hAnsi="Calibri Light" w:cs="Times New Roman"/>
      <w:b/>
      <w:bCs/>
      <w:sz w:val="26"/>
      <w:szCs w:val="26"/>
    </w:rPr>
  </w:style>
  <w:style w:type="paragraph" w:styleId="Heading5">
    <w:name w:val="heading 5"/>
    <w:basedOn w:val="Normal"/>
    <w:next w:val="Normal"/>
    <w:link w:val="Heading5Char"/>
    <w:unhideWhenUsed/>
    <w:qFormat/>
    <w:rsid w:val="00077D0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74F"/>
    <w:pPr>
      <w:ind w:left="720"/>
      <w:contextualSpacing/>
    </w:pPr>
  </w:style>
  <w:style w:type="character" w:styleId="Hyperlink">
    <w:name w:val="Hyperlink"/>
    <w:basedOn w:val="DefaultParagraphFont"/>
    <w:uiPriority w:val="99"/>
    <w:unhideWhenUsed/>
    <w:rsid w:val="00D1374F"/>
    <w:rPr>
      <w:color w:val="0563C1" w:themeColor="hyperlink"/>
      <w:u w:val="single"/>
    </w:rPr>
  </w:style>
  <w:style w:type="character" w:styleId="UnresolvedMention">
    <w:name w:val="Unresolved Mention"/>
    <w:basedOn w:val="DefaultParagraphFont"/>
    <w:uiPriority w:val="99"/>
    <w:semiHidden/>
    <w:unhideWhenUsed/>
    <w:rsid w:val="00D1374F"/>
    <w:rPr>
      <w:color w:val="605E5C"/>
      <w:shd w:val="clear" w:color="auto" w:fill="E1DFDD"/>
    </w:rPr>
  </w:style>
  <w:style w:type="table" w:styleId="TableGrid">
    <w:name w:val="Table Grid"/>
    <w:basedOn w:val="TableNormal"/>
    <w:uiPriority w:val="39"/>
    <w:rsid w:val="00D13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335E7"/>
    <w:rPr>
      <w:b/>
      <w:bCs/>
    </w:rPr>
  </w:style>
  <w:style w:type="paragraph" w:styleId="NormalWeb">
    <w:name w:val="Normal (Web)"/>
    <w:basedOn w:val="Normal"/>
    <w:uiPriority w:val="99"/>
    <w:unhideWhenUsed/>
    <w:rsid w:val="003E5A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uitypography-root">
    <w:name w:val="muitypography-root"/>
    <w:basedOn w:val="DefaultParagraphFont"/>
    <w:rsid w:val="00E304DC"/>
  </w:style>
  <w:style w:type="character" w:styleId="Emphasis">
    <w:name w:val="Emphasis"/>
    <w:basedOn w:val="DefaultParagraphFont"/>
    <w:uiPriority w:val="20"/>
    <w:qFormat/>
    <w:rsid w:val="00BB26A1"/>
    <w:rPr>
      <w:i/>
      <w:iCs/>
    </w:rPr>
  </w:style>
  <w:style w:type="table" w:styleId="GridTable6Colorful-Accent1">
    <w:name w:val="Grid Table 6 Colorful Accent 1"/>
    <w:basedOn w:val="TableNormal"/>
    <w:uiPriority w:val="51"/>
    <w:rsid w:val="00F2178D"/>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E57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781"/>
  </w:style>
  <w:style w:type="paragraph" w:styleId="Footer">
    <w:name w:val="footer"/>
    <w:basedOn w:val="Normal"/>
    <w:link w:val="FooterChar"/>
    <w:uiPriority w:val="99"/>
    <w:unhideWhenUsed/>
    <w:rsid w:val="00E577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781"/>
  </w:style>
  <w:style w:type="character" w:customStyle="1" w:styleId="Heading1Char">
    <w:name w:val="Heading 1 Char"/>
    <w:basedOn w:val="DefaultParagraphFont"/>
    <w:link w:val="Heading1"/>
    <w:rsid w:val="00077D04"/>
    <w:rPr>
      <w:rFonts w:ascii="Calibri Light" w:eastAsia="Times New Roman" w:hAnsi="Calibri Light" w:cs="Times New Roman"/>
      <w:b/>
      <w:bCs/>
      <w:kern w:val="32"/>
      <w:sz w:val="32"/>
      <w:szCs w:val="32"/>
    </w:rPr>
  </w:style>
  <w:style w:type="character" w:customStyle="1" w:styleId="Heading3Char">
    <w:name w:val="Heading 3 Char"/>
    <w:basedOn w:val="DefaultParagraphFont"/>
    <w:link w:val="Heading3"/>
    <w:rsid w:val="00077D04"/>
    <w:rPr>
      <w:rFonts w:ascii="Calibri Light" w:eastAsia="Times New Roman" w:hAnsi="Calibri Light" w:cs="Times New Roman"/>
      <w:b/>
      <w:bCs/>
      <w:sz w:val="26"/>
      <w:szCs w:val="26"/>
    </w:rPr>
  </w:style>
  <w:style w:type="character" w:customStyle="1" w:styleId="Heading5Char">
    <w:name w:val="Heading 5 Char"/>
    <w:basedOn w:val="DefaultParagraphFont"/>
    <w:link w:val="Heading5"/>
    <w:rsid w:val="00077D04"/>
    <w:rPr>
      <w:rFonts w:ascii="Calibri" w:eastAsia="Times New Roman" w:hAnsi="Calibri" w:cs="Times New Roman"/>
      <w:b/>
      <w:bCs/>
      <w:i/>
      <w:iCs/>
      <w:sz w:val="26"/>
      <w:szCs w:val="26"/>
    </w:rPr>
  </w:style>
  <w:style w:type="paragraph" w:styleId="FootnoteText">
    <w:name w:val="footnote text"/>
    <w:basedOn w:val="Normal"/>
    <w:link w:val="FootnoteTextChar"/>
    <w:rsid w:val="00077D04"/>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rsid w:val="00077D04"/>
    <w:rPr>
      <w:rFonts w:ascii=".VnTime" w:eastAsia="Times New Roman" w:hAnsi=".VnTime" w:cs="Times New Roman"/>
      <w:sz w:val="20"/>
      <w:szCs w:val="20"/>
    </w:rPr>
  </w:style>
  <w:style w:type="character" w:styleId="FootnoteReference">
    <w:name w:val="footnote reference"/>
    <w:rsid w:val="00077D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46180">
      <w:bodyDiv w:val="1"/>
      <w:marLeft w:val="0"/>
      <w:marRight w:val="0"/>
      <w:marTop w:val="0"/>
      <w:marBottom w:val="0"/>
      <w:divBdr>
        <w:top w:val="none" w:sz="0" w:space="0" w:color="auto"/>
        <w:left w:val="none" w:sz="0" w:space="0" w:color="auto"/>
        <w:bottom w:val="none" w:sz="0" w:space="0" w:color="auto"/>
        <w:right w:val="none" w:sz="0" w:space="0" w:color="auto"/>
      </w:divBdr>
    </w:div>
    <w:div w:id="482695179">
      <w:bodyDiv w:val="1"/>
      <w:marLeft w:val="0"/>
      <w:marRight w:val="0"/>
      <w:marTop w:val="0"/>
      <w:marBottom w:val="0"/>
      <w:divBdr>
        <w:top w:val="none" w:sz="0" w:space="0" w:color="auto"/>
        <w:left w:val="none" w:sz="0" w:space="0" w:color="auto"/>
        <w:bottom w:val="none" w:sz="0" w:space="0" w:color="auto"/>
        <w:right w:val="none" w:sz="0" w:space="0" w:color="auto"/>
      </w:divBdr>
    </w:div>
    <w:div w:id="697588408">
      <w:bodyDiv w:val="1"/>
      <w:marLeft w:val="0"/>
      <w:marRight w:val="0"/>
      <w:marTop w:val="0"/>
      <w:marBottom w:val="0"/>
      <w:divBdr>
        <w:top w:val="none" w:sz="0" w:space="0" w:color="auto"/>
        <w:left w:val="none" w:sz="0" w:space="0" w:color="auto"/>
        <w:bottom w:val="none" w:sz="0" w:space="0" w:color="auto"/>
        <w:right w:val="none" w:sz="0" w:space="0" w:color="auto"/>
      </w:divBdr>
      <w:divsChild>
        <w:div w:id="799496479">
          <w:marLeft w:val="0"/>
          <w:marRight w:val="0"/>
          <w:marTop w:val="0"/>
          <w:marBottom w:val="0"/>
          <w:divBdr>
            <w:top w:val="none" w:sz="0" w:space="0" w:color="auto"/>
            <w:left w:val="none" w:sz="0" w:space="0" w:color="auto"/>
            <w:bottom w:val="none" w:sz="0" w:space="0" w:color="auto"/>
            <w:right w:val="none" w:sz="0" w:space="0" w:color="auto"/>
          </w:divBdr>
        </w:div>
        <w:div w:id="449475005">
          <w:marLeft w:val="0"/>
          <w:marRight w:val="0"/>
          <w:marTop w:val="0"/>
          <w:marBottom w:val="0"/>
          <w:divBdr>
            <w:top w:val="none" w:sz="0" w:space="0" w:color="auto"/>
            <w:left w:val="none" w:sz="0" w:space="0" w:color="auto"/>
            <w:bottom w:val="none" w:sz="0" w:space="0" w:color="auto"/>
            <w:right w:val="none" w:sz="0" w:space="0" w:color="auto"/>
          </w:divBdr>
        </w:div>
        <w:div w:id="2048407107">
          <w:marLeft w:val="0"/>
          <w:marRight w:val="0"/>
          <w:marTop w:val="0"/>
          <w:marBottom w:val="0"/>
          <w:divBdr>
            <w:top w:val="none" w:sz="0" w:space="0" w:color="auto"/>
            <w:left w:val="none" w:sz="0" w:space="0" w:color="auto"/>
            <w:bottom w:val="none" w:sz="0" w:space="0" w:color="auto"/>
            <w:right w:val="none" w:sz="0" w:space="0" w:color="auto"/>
          </w:divBdr>
        </w:div>
        <w:div w:id="817527748">
          <w:marLeft w:val="0"/>
          <w:marRight w:val="0"/>
          <w:marTop w:val="0"/>
          <w:marBottom w:val="0"/>
          <w:divBdr>
            <w:top w:val="none" w:sz="0" w:space="0" w:color="auto"/>
            <w:left w:val="none" w:sz="0" w:space="0" w:color="auto"/>
            <w:bottom w:val="none" w:sz="0" w:space="0" w:color="auto"/>
            <w:right w:val="none" w:sz="0" w:space="0" w:color="auto"/>
          </w:divBdr>
        </w:div>
        <w:div w:id="1108543967">
          <w:marLeft w:val="0"/>
          <w:marRight w:val="0"/>
          <w:marTop w:val="0"/>
          <w:marBottom w:val="0"/>
          <w:divBdr>
            <w:top w:val="none" w:sz="0" w:space="0" w:color="auto"/>
            <w:left w:val="none" w:sz="0" w:space="0" w:color="auto"/>
            <w:bottom w:val="none" w:sz="0" w:space="0" w:color="auto"/>
            <w:right w:val="none" w:sz="0" w:space="0" w:color="auto"/>
          </w:divBdr>
        </w:div>
        <w:div w:id="701321793">
          <w:marLeft w:val="0"/>
          <w:marRight w:val="0"/>
          <w:marTop w:val="0"/>
          <w:marBottom w:val="0"/>
          <w:divBdr>
            <w:top w:val="none" w:sz="0" w:space="0" w:color="auto"/>
            <w:left w:val="none" w:sz="0" w:space="0" w:color="auto"/>
            <w:bottom w:val="none" w:sz="0" w:space="0" w:color="auto"/>
            <w:right w:val="none" w:sz="0" w:space="0" w:color="auto"/>
          </w:divBdr>
        </w:div>
      </w:divsChild>
    </w:div>
    <w:div w:id="1081412439">
      <w:bodyDiv w:val="1"/>
      <w:marLeft w:val="0"/>
      <w:marRight w:val="0"/>
      <w:marTop w:val="0"/>
      <w:marBottom w:val="0"/>
      <w:divBdr>
        <w:top w:val="none" w:sz="0" w:space="0" w:color="auto"/>
        <w:left w:val="none" w:sz="0" w:space="0" w:color="auto"/>
        <w:bottom w:val="none" w:sz="0" w:space="0" w:color="auto"/>
        <w:right w:val="none" w:sz="0" w:space="0" w:color="auto"/>
      </w:divBdr>
    </w:div>
    <w:div w:id="1613978972">
      <w:bodyDiv w:val="1"/>
      <w:marLeft w:val="0"/>
      <w:marRight w:val="0"/>
      <w:marTop w:val="0"/>
      <w:marBottom w:val="0"/>
      <w:divBdr>
        <w:top w:val="none" w:sz="0" w:space="0" w:color="auto"/>
        <w:left w:val="none" w:sz="0" w:space="0" w:color="auto"/>
        <w:bottom w:val="none" w:sz="0" w:space="0" w:color="auto"/>
        <w:right w:val="none" w:sz="0" w:space="0" w:color="auto"/>
      </w:divBdr>
    </w:div>
    <w:div w:id="1729912738">
      <w:bodyDiv w:val="1"/>
      <w:marLeft w:val="0"/>
      <w:marRight w:val="0"/>
      <w:marTop w:val="0"/>
      <w:marBottom w:val="0"/>
      <w:divBdr>
        <w:top w:val="none" w:sz="0" w:space="0" w:color="auto"/>
        <w:left w:val="none" w:sz="0" w:space="0" w:color="auto"/>
        <w:bottom w:val="none" w:sz="0" w:space="0" w:color="auto"/>
        <w:right w:val="none" w:sz="0" w:space="0" w:color="auto"/>
      </w:divBdr>
    </w:div>
    <w:div w:id="212395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wp-content/uploads/2020/09/Lao-PDR_Law-on-Intellectual-Property-No-38_15-11-2017_Eng.pdf" TargetMode="External"/><Relationship Id="rId3" Type="http://schemas.openxmlformats.org/officeDocument/2006/relationships/settings" Target="settings.xml"/><Relationship Id="rId7" Type="http://schemas.openxmlformats.org/officeDocument/2006/relationships/hyperlink" Target="https://kenfoxlaw.com/wp-content/uploads/2020/09/Lao-PDR_Law-on-Intellectual-Property-No-38_15-11-2017_Eng.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1286</Words>
  <Characters>7336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 Nguyen Vu</dc:creator>
  <cp:keywords/>
  <dc:description/>
  <cp:lastModifiedBy>PC</cp:lastModifiedBy>
  <cp:revision>4</cp:revision>
  <cp:lastPrinted>2023-02-21T08:12:00Z</cp:lastPrinted>
  <dcterms:created xsi:type="dcterms:W3CDTF">2023-03-17T09:58:00Z</dcterms:created>
  <dcterms:modified xsi:type="dcterms:W3CDTF">2023-03-21T08:58:00Z</dcterms:modified>
</cp:coreProperties>
</file>