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5F05EEB" w14:textId="5EEA36D1" w:rsidR="007375E8" w:rsidRPr="009A3457" w:rsidRDefault="004D64BC" w:rsidP="009A3457">
      <w:pPr>
        <w:jc w:val="center"/>
        <w:outlineLvl w:val="0"/>
        <w:rPr>
          <w:rFonts w:ascii="Arial" w:hAnsi="Arial" w:cs="Arial"/>
          <w:b/>
          <w:iCs/>
          <w:color w:val="C0000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15341512">
                <wp:simplePos x="0" y="0"/>
                <wp:positionH relativeFrom="column">
                  <wp:posOffset>6385560</wp:posOffset>
                </wp:positionH>
                <wp:positionV relativeFrom="paragraph">
                  <wp:posOffset>-350520</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0763A423" w:rsidR="00FA2CEE" w:rsidRPr="00BA68B8" w:rsidRDefault="009A3457" w:rsidP="00FA2CEE">
                            <w:pPr>
                              <w:spacing w:after="0" w:line="240" w:lineRule="auto"/>
                              <w:rPr>
                                <w:rFonts w:ascii="Arial" w:hAnsi="Arial" w:cs="Arial"/>
                                <w:b/>
                                <w:color w:val="FFFFFF" w:themeColor="background1"/>
                                <w:sz w:val="20"/>
                                <w:szCs w:val="20"/>
                              </w:rPr>
                            </w:pPr>
                            <w:r w:rsidRPr="009A3457">
                              <w:rPr>
                                <w:rFonts w:ascii="Arial" w:hAnsi="Arial" w:cs="Arial"/>
                                <w:b/>
                                <w:bCs/>
                                <w:color w:val="FFFFFF" w:themeColor="background1"/>
                                <w:sz w:val="20"/>
                                <w:szCs w:val="20"/>
                              </w:rPr>
                              <w:t>Patent granting in Vietnam and other ASEAN countries</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pt;margin-top:-27.6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" fillcolor="#00b39c" strokecolor="#00b39c" strokeweight="0">
                <v:textbox style="layout-flow:vertical">
                  <w:txbxContent>
                    <w:p w14:paraId="0E54C250" w14:textId="0763A423" w:rsidR="00FA2CEE" w:rsidRPr="00BA68B8" w:rsidRDefault="009A3457" w:rsidP="00FA2CEE">
                      <w:pPr>
                        <w:spacing w:after="0" w:line="240" w:lineRule="auto"/>
                        <w:rPr>
                          <w:rFonts w:ascii="Arial" w:hAnsi="Arial" w:cs="Arial"/>
                          <w:b/>
                          <w:color w:val="FFFFFF" w:themeColor="background1"/>
                          <w:sz w:val="20"/>
                          <w:szCs w:val="20"/>
                        </w:rPr>
                      </w:pPr>
                      <w:r w:rsidRPr="009A3457">
                        <w:rPr>
                          <w:rFonts w:ascii="Arial" w:hAnsi="Arial" w:cs="Arial"/>
                          <w:b/>
                          <w:bCs/>
                          <w:color w:val="FFFFFF" w:themeColor="background1"/>
                          <w:sz w:val="20"/>
                          <w:szCs w:val="20"/>
                        </w:rPr>
                        <w:t>Patent granting in Vietnam and other ASEAN countries</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29CC1AB6" w:rsidR="00FA2CEE" w:rsidRPr="00CC7576" w:rsidRDefault="009A3457" w:rsidP="00FA2CEE">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P</w:t>
                            </w:r>
                            <w:r w:rsidRPr="009A3457">
                              <w:rPr>
                                <w:rFonts w:ascii="Arial" w:hAnsi="Arial" w:cs="Arial"/>
                                <w:b/>
                                <w:bCs/>
                                <w:color w:val="FFFFFF" w:themeColor="background1"/>
                                <w:sz w:val="20"/>
                                <w:szCs w:val="20"/>
                              </w:rPr>
                              <w:t>atent granting in Vietnam and other ASEAN countries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29CC1AB6" w:rsidR="00FA2CEE" w:rsidRPr="00CC7576" w:rsidRDefault="009A3457" w:rsidP="00FA2CEE">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P</w:t>
                      </w:r>
                      <w:r w:rsidRPr="009A3457">
                        <w:rPr>
                          <w:rFonts w:ascii="Arial" w:hAnsi="Arial" w:cs="Arial"/>
                          <w:b/>
                          <w:bCs/>
                          <w:color w:val="FFFFFF" w:themeColor="background1"/>
                          <w:sz w:val="20"/>
                          <w:szCs w:val="20"/>
                        </w:rPr>
                        <w:t>atent granting in Vietnam and other ASEAN countries</w:t>
                      </w:r>
                    </w:p>
                  </w:txbxContent>
                </v:textbox>
                <w10:wrap anchorx="page"/>
              </v:rect>
            </w:pict>
          </mc:Fallback>
        </mc:AlternateContent>
      </w:r>
      <w:r w:rsidR="009A3457" w:rsidRPr="009A3457">
        <w:t xml:space="preserve"> </w:t>
      </w:r>
      <w:r w:rsidR="009A3457" w:rsidRPr="009A3457">
        <w:rPr>
          <w:rFonts w:ascii="Arial" w:hAnsi="Arial" w:cs="Arial"/>
          <w:b/>
          <w:bCs/>
          <w:noProof/>
          <w:color w:val="C00000"/>
          <w:sz w:val="24"/>
          <w:szCs w:val="24"/>
          <w:lang w:eastAsia="ko-KR"/>
        </w:rPr>
        <w:t>ASPEC Programme – an avenue to expedite patent granting in Vietnam and other ASEAN countries</w:t>
      </w:r>
      <w:r w:rsidR="00745E08" w:rsidRPr="00745E08">
        <w:rPr>
          <w:rFonts w:ascii="Arial" w:hAnsi="Arial" w:cs="Arial"/>
          <w:b/>
          <w:iCs/>
          <w:color w:val="C00000"/>
        </w:rPr>
        <w:t xml:space="preserve"> </w:t>
      </w:r>
    </w:p>
    <w:p w14:paraId="2325AF5A" w14:textId="77777777" w:rsidR="009A3457" w:rsidRPr="009A3457" w:rsidRDefault="009A3457" w:rsidP="009A3457">
      <w:pPr>
        <w:spacing w:after="0" w:line="240" w:lineRule="auto"/>
        <w:jc w:val="both"/>
        <w:rPr>
          <w:rFonts w:ascii="Arial" w:hAnsi="Arial" w:cs="Arial"/>
          <w:b/>
          <w:iCs/>
          <w:color w:val="0000FF"/>
          <w:sz w:val="20"/>
          <w:szCs w:val="20"/>
        </w:rPr>
      </w:pPr>
      <w:r w:rsidRPr="009A3457">
        <w:rPr>
          <w:rFonts w:ascii="Arial" w:hAnsi="Arial" w:cs="Arial"/>
          <w:b/>
          <w:iCs/>
          <w:color w:val="0000FF"/>
          <w:sz w:val="20"/>
          <w:szCs w:val="20"/>
        </w:rPr>
        <w:t xml:space="preserve">1. What is ASEAN Patent Examination Co-operation (ASPEC) </w:t>
      </w:r>
      <w:proofErr w:type="spellStart"/>
      <w:r w:rsidRPr="009A3457">
        <w:rPr>
          <w:rFonts w:ascii="Arial" w:hAnsi="Arial" w:cs="Arial"/>
          <w:b/>
          <w:iCs/>
          <w:color w:val="0000FF"/>
          <w:sz w:val="20"/>
          <w:szCs w:val="20"/>
        </w:rPr>
        <w:t>programme</w:t>
      </w:r>
      <w:proofErr w:type="spellEnd"/>
      <w:r w:rsidRPr="009A3457">
        <w:rPr>
          <w:rFonts w:ascii="Arial" w:hAnsi="Arial" w:cs="Arial"/>
          <w:b/>
          <w:iCs/>
          <w:color w:val="0000FF"/>
          <w:sz w:val="20"/>
          <w:szCs w:val="20"/>
        </w:rPr>
        <w:t>?</w:t>
      </w:r>
    </w:p>
    <w:p w14:paraId="77C4D60D" w14:textId="77777777" w:rsidR="009A3457" w:rsidRPr="009A3457" w:rsidRDefault="009A3457" w:rsidP="009A3457">
      <w:pPr>
        <w:spacing w:after="0" w:line="240" w:lineRule="auto"/>
        <w:jc w:val="both"/>
        <w:rPr>
          <w:rFonts w:ascii="Arial" w:hAnsi="Arial" w:cs="Arial"/>
          <w:iCs/>
          <w:color w:val="0000FF"/>
          <w:sz w:val="20"/>
          <w:szCs w:val="20"/>
        </w:rPr>
      </w:pPr>
    </w:p>
    <w:p w14:paraId="5554A011" w14:textId="77777777" w:rsidR="009A3457" w:rsidRPr="009A3457" w:rsidRDefault="009A3457" w:rsidP="009A3457">
      <w:pPr>
        <w:spacing w:after="0" w:line="240" w:lineRule="auto"/>
        <w:jc w:val="both"/>
        <w:rPr>
          <w:rFonts w:ascii="Arial" w:hAnsi="Arial" w:cs="Arial"/>
          <w:iCs/>
          <w:sz w:val="20"/>
          <w:szCs w:val="20"/>
        </w:rPr>
      </w:pPr>
      <w:r w:rsidRPr="009A3457">
        <w:rPr>
          <w:rFonts w:ascii="Arial" w:hAnsi="Arial" w:cs="Arial"/>
          <w:iCs/>
          <w:sz w:val="20"/>
          <w:szCs w:val="20"/>
        </w:rPr>
        <w:t>The ASEAN Patent Examination Cooperation (ASPEC) program is a regional patent cooperation program in Southeast Asia that allows patent applicants to request accelerated patent examination in participating ASEAN member states (“AMS”). It aims to improve the efficiency and quality of patent examination among participating ASEAN member state's intellectual property Offices (“AMS IP Offices”) by sharing search and examination (S&amp;E) results.</w:t>
      </w:r>
    </w:p>
    <w:p w14:paraId="2A8D8305" w14:textId="77777777" w:rsidR="009A3457" w:rsidRPr="009A3457" w:rsidRDefault="009A3457" w:rsidP="009A3457">
      <w:pPr>
        <w:spacing w:after="0" w:line="240" w:lineRule="auto"/>
        <w:jc w:val="both"/>
        <w:rPr>
          <w:rFonts w:ascii="Arial" w:hAnsi="Arial" w:cs="Arial"/>
          <w:iCs/>
          <w:sz w:val="20"/>
          <w:szCs w:val="20"/>
        </w:rPr>
      </w:pPr>
    </w:p>
    <w:p w14:paraId="11E81E4D" w14:textId="77777777" w:rsidR="009A3457" w:rsidRPr="009A3457" w:rsidRDefault="009A3457" w:rsidP="009A3457">
      <w:pPr>
        <w:spacing w:after="0" w:line="240" w:lineRule="auto"/>
        <w:jc w:val="both"/>
        <w:rPr>
          <w:rFonts w:ascii="Arial" w:hAnsi="Arial" w:cs="Arial"/>
          <w:iCs/>
          <w:sz w:val="20"/>
          <w:szCs w:val="20"/>
        </w:rPr>
      </w:pPr>
      <w:r w:rsidRPr="009A3457">
        <w:rPr>
          <w:rFonts w:ascii="Arial" w:hAnsi="Arial" w:cs="Arial"/>
          <w:iCs/>
          <w:sz w:val="20"/>
          <w:szCs w:val="20"/>
        </w:rPr>
        <w:t>Under the ASPEC program, patent applicants can submit a request for accelerated examination of a patent application in a participating AMS IP Office (“second IP Office”) based on a S&amp;E reports issued by another participating AMS IP Office (“first IP Office”) on the corresponding application. The program aims to improve the efficiency and quality of patent examination in the region by facilitating the sharing of patent S&amp;E results among participating AMS IP Offices. The ASPEC program is open to patent applications filed in any of the participating ASEAN member states, which include Brunei Darussalam, Cambodia, Indonesia, Lao PDR, Malaysia, the Philippines, Singapore, Thailand, and Vietnam.</w:t>
      </w:r>
    </w:p>
    <w:p w14:paraId="10DF2E64" w14:textId="77777777" w:rsidR="009A3457" w:rsidRPr="009A3457" w:rsidRDefault="009A3457" w:rsidP="009A3457">
      <w:pPr>
        <w:spacing w:after="0" w:line="240" w:lineRule="auto"/>
        <w:jc w:val="both"/>
        <w:rPr>
          <w:rFonts w:ascii="Arial" w:hAnsi="Arial" w:cs="Arial"/>
          <w:iCs/>
          <w:sz w:val="20"/>
          <w:szCs w:val="20"/>
        </w:rPr>
      </w:pPr>
    </w:p>
    <w:p w14:paraId="5D037191" w14:textId="72817E73" w:rsidR="009A3457" w:rsidRPr="009A3457" w:rsidRDefault="009A3457" w:rsidP="009A3457">
      <w:pPr>
        <w:spacing w:after="0" w:line="240" w:lineRule="auto"/>
        <w:jc w:val="both"/>
        <w:rPr>
          <w:rFonts w:ascii="Arial" w:hAnsi="Arial" w:cs="Arial"/>
          <w:b/>
          <w:iCs/>
          <w:color w:val="0000FF"/>
          <w:sz w:val="20"/>
          <w:szCs w:val="20"/>
        </w:rPr>
      </w:pPr>
      <w:r w:rsidRPr="009A3457">
        <w:rPr>
          <w:rFonts w:ascii="Arial" w:hAnsi="Arial" w:cs="Arial"/>
          <w:b/>
          <w:iCs/>
          <w:color w:val="0000FF"/>
          <w:sz w:val="20"/>
          <w:szCs w:val="20"/>
        </w:rPr>
        <w:t>2. What is PCT-</w:t>
      </w:r>
      <w:r w:rsidR="006A0D22">
        <w:rPr>
          <w:rFonts w:ascii="Arial" w:hAnsi="Arial" w:cs="Arial"/>
          <w:b/>
          <w:iCs/>
          <w:color w:val="0000FF"/>
          <w:sz w:val="20"/>
          <w:szCs w:val="20"/>
        </w:rPr>
        <w:t xml:space="preserve"> </w:t>
      </w:r>
      <w:r w:rsidRPr="009A3457">
        <w:rPr>
          <w:rFonts w:ascii="Arial" w:hAnsi="Arial" w:cs="Arial"/>
          <w:b/>
          <w:iCs/>
          <w:color w:val="0000FF"/>
          <w:sz w:val="20"/>
          <w:szCs w:val="20"/>
        </w:rPr>
        <w:t>ASPECT?</w:t>
      </w:r>
    </w:p>
    <w:p w14:paraId="6828AD34" w14:textId="77777777" w:rsidR="009A3457" w:rsidRPr="009A3457" w:rsidRDefault="009A3457" w:rsidP="009A3457">
      <w:pPr>
        <w:spacing w:after="0" w:line="240" w:lineRule="auto"/>
        <w:jc w:val="both"/>
        <w:rPr>
          <w:rFonts w:ascii="Arial" w:hAnsi="Arial" w:cs="Arial"/>
          <w:iCs/>
          <w:sz w:val="20"/>
          <w:szCs w:val="20"/>
        </w:rPr>
      </w:pPr>
    </w:p>
    <w:p w14:paraId="7B898272" w14:textId="77777777" w:rsidR="009A3457" w:rsidRPr="009A3457" w:rsidRDefault="009A3457" w:rsidP="009A3457">
      <w:pPr>
        <w:spacing w:after="0" w:line="240" w:lineRule="auto"/>
        <w:jc w:val="both"/>
        <w:rPr>
          <w:rFonts w:ascii="Arial" w:hAnsi="Arial" w:cs="Arial"/>
          <w:iCs/>
          <w:sz w:val="20"/>
          <w:szCs w:val="20"/>
        </w:rPr>
      </w:pPr>
      <w:r w:rsidRPr="009A3457">
        <w:rPr>
          <w:rFonts w:ascii="Arial" w:hAnsi="Arial" w:cs="Arial"/>
          <w:iCs/>
          <w:sz w:val="20"/>
          <w:szCs w:val="20"/>
        </w:rPr>
        <w:t>PCT-ASPEC refers to the Patent Cooperation Treaty (PCT) - ASEAN Patent Examination Cooperation (ASPEC) program. This is one of new features under ASPEC which has been introduced since 27 August 2019.</w:t>
      </w:r>
    </w:p>
    <w:p w14:paraId="655E5875" w14:textId="77777777" w:rsidR="009A3457" w:rsidRPr="009A3457" w:rsidRDefault="009A3457" w:rsidP="009A3457">
      <w:pPr>
        <w:spacing w:after="0" w:line="240" w:lineRule="auto"/>
        <w:jc w:val="both"/>
        <w:rPr>
          <w:rFonts w:ascii="Arial" w:hAnsi="Arial" w:cs="Arial"/>
          <w:iCs/>
          <w:sz w:val="20"/>
          <w:szCs w:val="20"/>
        </w:rPr>
      </w:pPr>
    </w:p>
    <w:p w14:paraId="6F7462E2" w14:textId="77777777" w:rsidR="009A3457" w:rsidRPr="009A3457" w:rsidRDefault="009A3457" w:rsidP="009A3457">
      <w:pPr>
        <w:spacing w:after="0" w:line="240" w:lineRule="auto"/>
        <w:jc w:val="both"/>
        <w:rPr>
          <w:rFonts w:ascii="Arial" w:hAnsi="Arial" w:cs="Arial"/>
          <w:iCs/>
          <w:sz w:val="20"/>
          <w:szCs w:val="20"/>
        </w:rPr>
      </w:pPr>
      <w:r w:rsidRPr="009A3457">
        <w:rPr>
          <w:rFonts w:ascii="Arial" w:hAnsi="Arial" w:cs="Arial"/>
          <w:iCs/>
          <w:sz w:val="20"/>
          <w:szCs w:val="20"/>
        </w:rPr>
        <w:t>The PCT is an international treaty that enables patent applicants to file a single international patent application, which is then processed by a centralized authority (the World Intellectual Property Organization or WIPO) before being sent to individual national or regional patent offices for examination and granting. The PCT simplifies the patent filing process for applicants seeking protection in multiple countries or regions, by providing a standardized application procedure and a centralized S&amp;E process.</w:t>
      </w:r>
    </w:p>
    <w:p w14:paraId="5F0264E5" w14:textId="77777777" w:rsidR="009A3457" w:rsidRPr="009A3457" w:rsidRDefault="009A3457" w:rsidP="009A3457">
      <w:pPr>
        <w:spacing w:after="0" w:line="240" w:lineRule="auto"/>
        <w:jc w:val="both"/>
        <w:rPr>
          <w:rFonts w:ascii="Arial" w:hAnsi="Arial" w:cs="Arial"/>
          <w:iCs/>
          <w:sz w:val="20"/>
          <w:szCs w:val="20"/>
        </w:rPr>
      </w:pPr>
    </w:p>
    <w:p w14:paraId="79E59B80" w14:textId="77777777" w:rsidR="009A3457" w:rsidRPr="009A3457" w:rsidRDefault="009A3457" w:rsidP="009A3457">
      <w:pPr>
        <w:spacing w:after="0" w:line="240" w:lineRule="auto"/>
        <w:jc w:val="both"/>
        <w:rPr>
          <w:rFonts w:ascii="Arial" w:hAnsi="Arial" w:cs="Arial"/>
          <w:iCs/>
          <w:sz w:val="20"/>
          <w:szCs w:val="20"/>
        </w:rPr>
      </w:pPr>
      <w:r w:rsidRPr="009A3457">
        <w:rPr>
          <w:rFonts w:ascii="Arial" w:hAnsi="Arial" w:cs="Arial"/>
          <w:iCs/>
          <w:sz w:val="20"/>
          <w:szCs w:val="20"/>
        </w:rPr>
        <w:t>The PCT-ASPEC program is a collaboration between WIPO and ASEAN member states, which enables PCT patent applicants to request accelerated examination of their patent applications in a participating AMS IP Office based on a S&amp;E report issued by another participating AMS IP Office on the corresponding application. PCT-ASPEC thus provides an additional avenue for patent applicants to expedite the patent examination process in ASEAN countries, and to benefit from the expertise and resources of multiple participating countries.</w:t>
      </w:r>
    </w:p>
    <w:p w14:paraId="788B766E" w14:textId="77777777" w:rsidR="009A3457" w:rsidRPr="009A3457" w:rsidRDefault="009A3457" w:rsidP="009A3457">
      <w:pPr>
        <w:spacing w:after="0" w:line="240" w:lineRule="auto"/>
        <w:jc w:val="both"/>
        <w:rPr>
          <w:rFonts w:ascii="Arial" w:hAnsi="Arial" w:cs="Arial"/>
          <w:iCs/>
          <w:sz w:val="20"/>
          <w:szCs w:val="20"/>
        </w:rPr>
      </w:pPr>
    </w:p>
    <w:p w14:paraId="194B60C2" w14:textId="77777777" w:rsidR="009A3457" w:rsidRPr="009A3457" w:rsidRDefault="009A3457" w:rsidP="009A3457">
      <w:pPr>
        <w:spacing w:after="0" w:line="240" w:lineRule="auto"/>
        <w:jc w:val="both"/>
        <w:rPr>
          <w:rFonts w:ascii="Arial" w:hAnsi="Arial" w:cs="Arial"/>
          <w:b/>
          <w:iCs/>
          <w:color w:val="0000FF"/>
          <w:sz w:val="20"/>
          <w:szCs w:val="20"/>
        </w:rPr>
      </w:pPr>
      <w:r w:rsidRPr="009A3457">
        <w:rPr>
          <w:rFonts w:ascii="Arial" w:hAnsi="Arial" w:cs="Arial"/>
          <w:b/>
          <w:iCs/>
          <w:color w:val="0000FF"/>
          <w:sz w:val="20"/>
          <w:szCs w:val="20"/>
        </w:rPr>
        <w:t>3. What is ASPEC Acceleration for Industry 4.0 Infrastructure and Manufacturing (ASPEC AIM)?</w:t>
      </w:r>
    </w:p>
    <w:p w14:paraId="7BCBC39F" w14:textId="77777777" w:rsidR="009A3457" w:rsidRPr="009A3457" w:rsidRDefault="009A3457" w:rsidP="009A3457">
      <w:pPr>
        <w:spacing w:after="0" w:line="240" w:lineRule="auto"/>
        <w:jc w:val="both"/>
        <w:rPr>
          <w:rFonts w:ascii="Arial" w:hAnsi="Arial" w:cs="Arial"/>
          <w:b/>
          <w:iCs/>
          <w:color w:val="0000FF"/>
          <w:sz w:val="20"/>
          <w:szCs w:val="20"/>
        </w:rPr>
      </w:pPr>
    </w:p>
    <w:p w14:paraId="531CA019" w14:textId="77777777" w:rsidR="009A3457" w:rsidRPr="009A3457" w:rsidRDefault="009A3457" w:rsidP="009A3457">
      <w:pPr>
        <w:spacing w:after="0" w:line="240" w:lineRule="auto"/>
        <w:jc w:val="both"/>
        <w:rPr>
          <w:rFonts w:ascii="Arial" w:hAnsi="Arial" w:cs="Arial"/>
          <w:iCs/>
          <w:sz w:val="20"/>
          <w:szCs w:val="20"/>
        </w:rPr>
      </w:pPr>
      <w:r w:rsidRPr="009A3457">
        <w:rPr>
          <w:rFonts w:ascii="Arial" w:hAnsi="Arial" w:cs="Arial"/>
          <w:iCs/>
          <w:sz w:val="20"/>
          <w:szCs w:val="20"/>
        </w:rPr>
        <w:t>Industry 4.0, also known as the Fourth Industrial Revolution, refers to the current trend of automation and data exchange in manufacturing technologies, including the use of advanced technologies such as artificial intelligence, robotics, the Internet of Things (IoT), and cloud computing. This is one of new features under ASPEC which has been introduced since 27 August 2019.</w:t>
      </w:r>
    </w:p>
    <w:p w14:paraId="0C36CA4F" w14:textId="77777777" w:rsidR="009A3457" w:rsidRPr="009A3457" w:rsidRDefault="009A3457" w:rsidP="009A3457">
      <w:pPr>
        <w:spacing w:after="0" w:line="240" w:lineRule="auto"/>
        <w:jc w:val="both"/>
        <w:rPr>
          <w:rFonts w:ascii="Arial" w:hAnsi="Arial" w:cs="Arial"/>
          <w:iCs/>
          <w:sz w:val="20"/>
          <w:szCs w:val="20"/>
        </w:rPr>
      </w:pPr>
    </w:p>
    <w:p w14:paraId="2CFBE967" w14:textId="77777777" w:rsidR="009A3457" w:rsidRPr="009A3457" w:rsidRDefault="009A3457" w:rsidP="009A3457">
      <w:pPr>
        <w:spacing w:after="0" w:line="240" w:lineRule="auto"/>
        <w:jc w:val="both"/>
        <w:rPr>
          <w:rFonts w:ascii="Arial" w:hAnsi="Arial" w:cs="Arial"/>
          <w:iCs/>
          <w:sz w:val="20"/>
          <w:szCs w:val="20"/>
        </w:rPr>
      </w:pPr>
      <w:r w:rsidRPr="009A3457">
        <w:rPr>
          <w:rFonts w:ascii="Arial" w:hAnsi="Arial" w:cs="Arial"/>
          <w:iCs/>
          <w:sz w:val="20"/>
          <w:szCs w:val="20"/>
        </w:rPr>
        <w:t>ASPEC Acceleration for Industry 4.0 Infrastructure and Manufacturing (ASPEC AIM) is a program that aims to provide accelerated patent examination services for patent applications related to Industry 4.0 infrastructure and manufacturing technologies in participating AMS IP Offices.</w:t>
      </w:r>
    </w:p>
    <w:p w14:paraId="5735F0CE" w14:textId="77777777" w:rsidR="009A3457" w:rsidRPr="009A3457" w:rsidRDefault="009A3457" w:rsidP="009A3457">
      <w:pPr>
        <w:spacing w:after="0" w:line="240" w:lineRule="auto"/>
        <w:jc w:val="both"/>
        <w:rPr>
          <w:rFonts w:ascii="Arial" w:hAnsi="Arial" w:cs="Arial"/>
          <w:iCs/>
          <w:sz w:val="20"/>
          <w:szCs w:val="20"/>
        </w:rPr>
      </w:pPr>
    </w:p>
    <w:p w14:paraId="4B63E740" w14:textId="77777777" w:rsidR="009A3457" w:rsidRPr="009A3457" w:rsidRDefault="009A3457" w:rsidP="009A3457">
      <w:pPr>
        <w:spacing w:after="0" w:line="240" w:lineRule="auto"/>
        <w:jc w:val="both"/>
        <w:rPr>
          <w:rFonts w:ascii="Arial" w:hAnsi="Arial" w:cs="Arial"/>
          <w:iCs/>
          <w:sz w:val="20"/>
          <w:szCs w:val="20"/>
        </w:rPr>
      </w:pPr>
      <w:r w:rsidRPr="009A3457">
        <w:rPr>
          <w:rFonts w:ascii="Arial" w:hAnsi="Arial" w:cs="Arial"/>
          <w:iCs/>
          <w:sz w:val="20"/>
          <w:szCs w:val="20"/>
        </w:rPr>
        <w:t>Under the ASPEC AIM program, patent applicants can request accelerated examination of their patent application in a participating AMS IP Office based on a S&amp;E report issued by another participating AMS IP Office on the corresponding application. This can help to expedite the patent examination process and potentially reduce costs and administrative burdens for applicants seeking patent protection in ASEAN member states for their Industry 4.0 technologies.</w:t>
      </w:r>
    </w:p>
    <w:p w14:paraId="52AB68FA" w14:textId="77777777" w:rsidR="009A3457" w:rsidRPr="009A3457" w:rsidRDefault="009A3457" w:rsidP="009A3457">
      <w:pPr>
        <w:spacing w:after="0" w:line="240" w:lineRule="auto"/>
        <w:jc w:val="both"/>
        <w:rPr>
          <w:rFonts w:ascii="Arial" w:hAnsi="Arial" w:cs="Arial"/>
          <w:iCs/>
          <w:sz w:val="20"/>
          <w:szCs w:val="20"/>
        </w:rPr>
      </w:pPr>
    </w:p>
    <w:p w14:paraId="14E719C9" w14:textId="77777777" w:rsidR="009A3457" w:rsidRPr="009A3457" w:rsidRDefault="009A3457" w:rsidP="009A3457">
      <w:pPr>
        <w:spacing w:after="0" w:line="240" w:lineRule="auto"/>
        <w:jc w:val="both"/>
        <w:rPr>
          <w:rFonts w:ascii="Arial" w:hAnsi="Arial" w:cs="Arial"/>
          <w:iCs/>
          <w:sz w:val="20"/>
          <w:szCs w:val="20"/>
        </w:rPr>
      </w:pPr>
      <w:r w:rsidRPr="009A3457">
        <w:rPr>
          <w:rFonts w:ascii="Arial" w:hAnsi="Arial" w:cs="Arial"/>
          <w:iCs/>
          <w:sz w:val="20"/>
          <w:szCs w:val="20"/>
        </w:rPr>
        <w:t>ASPEC AIM program aims to expedite the patent examination process for inventions related to Industry 4.0 infrastructure and manufacturing. It also aims to help innovators and businesses to obtain patents faster, thus enabling them to protect their inventions and bring their products and services to the market more quickly.</w:t>
      </w:r>
    </w:p>
    <w:p w14:paraId="00D4FB21" w14:textId="77777777" w:rsidR="009A3457" w:rsidRPr="009A3457" w:rsidRDefault="009A3457" w:rsidP="009A3457">
      <w:pPr>
        <w:spacing w:after="0" w:line="240" w:lineRule="auto"/>
        <w:jc w:val="both"/>
        <w:rPr>
          <w:rFonts w:ascii="Arial" w:hAnsi="Arial" w:cs="Arial"/>
          <w:iCs/>
          <w:sz w:val="20"/>
          <w:szCs w:val="20"/>
        </w:rPr>
      </w:pPr>
    </w:p>
    <w:p w14:paraId="05B2E2EE" w14:textId="77777777" w:rsidR="009A3457" w:rsidRPr="009A3457" w:rsidRDefault="009A3457" w:rsidP="009A3457">
      <w:pPr>
        <w:spacing w:after="0" w:line="240" w:lineRule="auto"/>
        <w:jc w:val="both"/>
        <w:rPr>
          <w:rFonts w:ascii="Arial" w:hAnsi="Arial" w:cs="Arial"/>
          <w:iCs/>
          <w:sz w:val="20"/>
          <w:szCs w:val="20"/>
        </w:rPr>
      </w:pPr>
      <w:r w:rsidRPr="009A3457">
        <w:rPr>
          <w:rFonts w:ascii="Arial" w:hAnsi="Arial" w:cs="Arial"/>
          <w:iCs/>
          <w:sz w:val="20"/>
          <w:szCs w:val="20"/>
        </w:rPr>
        <w:t>The above two new features (</w:t>
      </w:r>
      <w:r w:rsidRPr="006A0D22">
        <w:rPr>
          <w:rFonts w:ascii="Arial" w:hAnsi="Arial" w:cs="Arial"/>
          <w:i/>
          <w:iCs/>
          <w:sz w:val="20"/>
          <w:szCs w:val="20"/>
        </w:rPr>
        <w:t>i.e. PCT-ASPECT and ASPEC AIM</w:t>
      </w:r>
      <w:r w:rsidRPr="009A3457">
        <w:rPr>
          <w:rFonts w:ascii="Arial" w:hAnsi="Arial" w:cs="Arial"/>
          <w:iCs/>
          <w:sz w:val="20"/>
          <w:szCs w:val="20"/>
        </w:rPr>
        <w:t>) are part of ASPEC's ongoing efforts to enhance the regional patent system and support innovation and economic growth in the ASEAN region.</w:t>
      </w:r>
    </w:p>
    <w:p w14:paraId="3AB871F2" w14:textId="77777777" w:rsidR="009A3457" w:rsidRPr="009A3457" w:rsidRDefault="009A3457" w:rsidP="009A3457">
      <w:pPr>
        <w:spacing w:after="0" w:line="240" w:lineRule="auto"/>
        <w:jc w:val="both"/>
        <w:rPr>
          <w:rFonts w:ascii="Arial" w:hAnsi="Arial" w:cs="Arial"/>
          <w:iCs/>
          <w:sz w:val="20"/>
          <w:szCs w:val="20"/>
        </w:rPr>
      </w:pPr>
    </w:p>
    <w:p w14:paraId="6E5F5DF8" w14:textId="77777777" w:rsidR="006A0D22" w:rsidRDefault="006A0D22" w:rsidP="009A3457">
      <w:pPr>
        <w:spacing w:after="0" w:line="240" w:lineRule="auto"/>
        <w:jc w:val="both"/>
        <w:rPr>
          <w:rFonts w:ascii="Arial" w:hAnsi="Arial" w:cs="Arial"/>
          <w:b/>
          <w:iCs/>
          <w:color w:val="0000FF"/>
          <w:sz w:val="20"/>
          <w:szCs w:val="20"/>
        </w:rPr>
      </w:pPr>
    </w:p>
    <w:p w14:paraId="605330BC" w14:textId="77777777" w:rsidR="006A0D22" w:rsidRDefault="006A0D22" w:rsidP="009A3457">
      <w:pPr>
        <w:spacing w:after="0" w:line="240" w:lineRule="auto"/>
        <w:jc w:val="both"/>
        <w:rPr>
          <w:rFonts w:ascii="Arial" w:hAnsi="Arial" w:cs="Arial"/>
          <w:b/>
          <w:iCs/>
          <w:color w:val="0000FF"/>
          <w:sz w:val="20"/>
          <w:szCs w:val="20"/>
        </w:rPr>
      </w:pPr>
    </w:p>
    <w:p w14:paraId="50F819B4" w14:textId="5C08294B" w:rsidR="009A3457" w:rsidRPr="009A3457" w:rsidRDefault="006A0D22" w:rsidP="009A3457">
      <w:pPr>
        <w:spacing w:after="0" w:line="240" w:lineRule="auto"/>
        <w:jc w:val="both"/>
        <w:rPr>
          <w:rFonts w:ascii="Arial" w:hAnsi="Arial" w:cs="Arial"/>
          <w:b/>
          <w:iCs/>
          <w:color w:val="0000FF"/>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71552" behindDoc="0" locked="0" layoutInCell="1" allowOverlap="1" wp14:anchorId="52EE7368" wp14:editId="4046EAA3">
                <wp:simplePos x="0" y="0"/>
                <wp:positionH relativeFrom="column">
                  <wp:posOffset>6381750</wp:posOffset>
                </wp:positionH>
                <wp:positionV relativeFrom="paragraph">
                  <wp:posOffset>-337185</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5A03B7" w14:textId="77777777" w:rsidR="009A3457" w:rsidRPr="00BA68B8" w:rsidRDefault="009A3457" w:rsidP="009A3457">
                            <w:pPr>
                              <w:spacing w:after="0" w:line="240" w:lineRule="auto"/>
                              <w:rPr>
                                <w:rFonts w:ascii="Arial" w:hAnsi="Arial" w:cs="Arial"/>
                                <w:b/>
                                <w:color w:val="FFFFFF" w:themeColor="background1"/>
                                <w:sz w:val="20"/>
                                <w:szCs w:val="20"/>
                              </w:rPr>
                            </w:pPr>
                            <w:r w:rsidRPr="009A3457">
                              <w:rPr>
                                <w:rFonts w:ascii="Arial" w:hAnsi="Arial" w:cs="Arial"/>
                                <w:b/>
                                <w:bCs/>
                                <w:color w:val="FFFFFF" w:themeColor="background1"/>
                                <w:sz w:val="20"/>
                                <w:szCs w:val="20"/>
                              </w:rPr>
                              <w:t>Patent granting in Vietnam and other ASEAN countries</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E7368" id="Rectangle 3" o:spid="_x0000_s1028" style="position:absolute;left:0;text-align:left;margin-left:502.5pt;margin-top:-26.55pt;width:27.3pt;height:81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" fillcolor="#00b39c" strokecolor="#00b39c" strokeweight="0">
                <v:textbox style="layout-flow:vertical">
                  <w:txbxContent>
                    <w:p w14:paraId="0C5A03B7" w14:textId="77777777" w:rsidR="009A3457" w:rsidRPr="00BA68B8" w:rsidRDefault="009A3457" w:rsidP="009A3457">
                      <w:pPr>
                        <w:spacing w:after="0" w:line="240" w:lineRule="auto"/>
                        <w:rPr>
                          <w:rFonts w:ascii="Arial" w:hAnsi="Arial" w:cs="Arial"/>
                          <w:b/>
                          <w:color w:val="FFFFFF" w:themeColor="background1"/>
                          <w:sz w:val="20"/>
                          <w:szCs w:val="20"/>
                        </w:rPr>
                      </w:pPr>
                      <w:r w:rsidRPr="009A3457">
                        <w:rPr>
                          <w:rFonts w:ascii="Arial" w:hAnsi="Arial" w:cs="Arial"/>
                          <w:b/>
                          <w:bCs/>
                          <w:color w:val="FFFFFF" w:themeColor="background1"/>
                          <w:sz w:val="20"/>
                          <w:szCs w:val="20"/>
                        </w:rPr>
                        <w:t>Patent granting in Vietnam and other ASEAN countries</w:t>
                      </w:r>
                    </w:p>
                  </w:txbxContent>
                </v:textbox>
              </v:rect>
            </w:pict>
          </mc:Fallback>
        </mc:AlternateContent>
      </w:r>
      <w:r w:rsidR="009A3457" w:rsidRPr="009A3457">
        <w:rPr>
          <w:rFonts w:ascii="Arial" w:hAnsi="Arial" w:cs="Arial"/>
          <w:b/>
          <w:iCs/>
          <w:color w:val="0000FF"/>
          <w:sz w:val="20"/>
          <w:szCs w:val="20"/>
        </w:rPr>
        <w:t>4. What documents should be prepared for filing an ASPEC request?</w:t>
      </w:r>
    </w:p>
    <w:p w14:paraId="58FEDF3D" w14:textId="1E1A6E73" w:rsidR="009A3457" w:rsidRPr="009A3457" w:rsidRDefault="009A3457" w:rsidP="009A3457">
      <w:pPr>
        <w:spacing w:after="0" w:line="240" w:lineRule="auto"/>
        <w:jc w:val="both"/>
        <w:rPr>
          <w:rFonts w:ascii="Arial" w:hAnsi="Arial" w:cs="Arial"/>
          <w:iCs/>
          <w:sz w:val="20"/>
          <w:szCs w:val="20"/>
        </w:rPr>
      </w:pPr>
    </w:p>
    <w:p w14:paraId="44C700A0" w14:textId="460C2C31" w:rsidR="009A3457" w:rsidRPr="009A3457" w:rsidRDefault="009A3457" w:rsidP="009A3457">
      <w:pPr>
        <w:spacing w:after="0" w:line="240" w:lineRule="auto"/>
        <w:jc w:val="both"/>
        <w:rPr>
          <w:rFonts w:ascii="Arial" w:hAnsi="Arial" w:cs="Arial"/>
          <w:iCs/>
          <w:sz w:val="20"/>
          <w:szCs w:val="20"/>
        </w:rPr>
      </w:pPr>
      <w:r w:rsidRPr="009A3457">
        <w:rPr>
          <w:rFonts w:ascii="Arial" w:hAnsi="Arial" w:cs="Arial"/>
          <w:iCs/>
          <w:sz w:val="20"/>
          <w:szCs w:val="20"/>
        </w:rPr>
        <w:t>The specific documents for filing an ASPEC request may vary depending on each of the participating AMS IP Offices in which the request is being made. However, the following documents are typically prepared for filing an ASPEC request:</w:t>
      </w:r>
    </w:p>
    <w:p w14:paraId="216FCF52" w14:textId="77777777" w:rsidR="009A3457" w:rsidRPr="009A3457" w:rsidRDefault="009A3457" w:rsidP="009A3457">
      <w:pPr>
        <w:spacing w:after="0" w:line="240" w:lineRule="auto"/>
        <w:jc w:val="both"/>
        <w:rPr>
          <w:rFonts w:ascii="Arial" w:hAnsi="Arial" w:cs="Arial"/>
          <w:iCs/>
          <w:sz w:val="20"/>
          <w:szCs w:val="20"/>
        </w:rPr>
      </w:pPr>
    </w:p>
    <w:p w14:paraId="5971446B" w14:textId="28E04BB4" w:rsidR="009A3457" w:rsidRPr="009A3457" w:rsidRDefault="009A3457" w:rsidP="009A3457">
      <w:pPr>
        <w:pStyle w:val="ListParagraph"/>
        <w:numPr>
          <w:ilvl w:val="0"/>
          <w:numId w:val="18"/>
        </w:numPr>
        <w:spacing w:after="0" w:line="240" w:lineRule="auto"/>
        <w:ind w:left="567" w:hanging="567"/>
        <w:jc w:val="both"/>
        <w:rPr>
          <w:rFonts w:ascii="Arial" w:hAnsi="Arial" w:cs="Arial"/>
          <w:iCs/>
          <w:sz w:val="20"/>
          <w:szCs w:val="20"/>
        </w:rPr>
      </w:pPr>
      <w:r w:rsidRPr="009A3457">
        <w:rPr>
          <w:rFonts w:ascii="Arial" w:hAnsi="Arial" w:cs="Arial"/>
          <w:iCs/>
          <w:sz w:val="20"/>
          <w:szCs w:val="20"/>
        </w:rPr>
        <w:t xml:space="preserve">ASPEC request form: This is the official form used to request accelerated patent examination under the ASPEC program. </w:t>
      </w:r>
    </w:p>
    <w:p w14:paraId="695AAF96" w14:textId="6E3CE4A5" w:rsidR="009A3457" w:rsidRPr="009A3457" w:rsidRDefault="009A3457" w:rsidP="009A3457">
      <w:pPr>
        <w:pStyle w:val="ListParagraph"/>
        <w:numPr>
          <w:ilvl w:val="0"/>
          <w:numId w:val="18"/>
        </w:numPr>
        <w:spacing w:after="0" w:line="240" w:lineRule="auto"/>
        <w:ind w:left="567" w:hanging="567"/>
        <w:jc w:val="both"/>
        <w:rPr>
          <w:rFonts w:ascii="Arial" w:hAnsi="Arial" w:cs="Arial"/>
          <w:iCs/>
          <w:sz w:val="20"/>
          <w:szCs w:val="20"/>
        </w:rPr>
      </w:pPr>
      <w:r w:rsidRPr="009A3457">
        <w:rPr>
          <w:rFonts w:ascii="Arial" w:hAnsi="Arial" w:cs="Arial"/>
          <w:iCs/>
          <w:sz w:val="20"/>
          <w:szCs w:val="20"/>
        </w:rPr>
        <w:t xml:space="preserve">Search report: A copy of the search report issued by the participating AMS IP Office upon which the ASPEC request is based. </w:t>
      </w:r>
    </w:p>
    <w:p w14:paraId="570EEADA" w14:textId="55130F90" w:rsidR="009A3457" w:rsidRPr="009A3457" w:rsidRDefault="009A3457" w:rsidP="009A3457">
      <w:pPr>
        <w:pStyle w:val="ListParagraph"/>
        <w:numPr>
          <w:ilvl w:val="0"/>
          <w:numId w:val="18"/>
        </w:numPr>
        <w:spacing w:after="0" w:line="240" w:lineRule="auto"/>
        <w:ind w:left="567" w:hanging="567"/>
        <w:jc w:val="both"/>
        <w:rPr>
          <w:rFonts w:ascii="Arial" w:hAnsi="Arial" w:cs="Arial"/>
          <w:iCs/>
          <w:sz w:val="20"/>
          <w:szCs w:val="20"/>
        </w:rPr>
      </w:pPr>
      <w:r w:rsidRPr="009A3457">
        <w:rPr>
          <w:rFonts w:ascii="Arial" w:hAnsi="Arial" w:cs="Arial"/>
          <w:iCs/>
          <w:sz w:val="20"/>
          <w:szCs w:val="20"/>
        </w:rPr>
        <w:t>Written opinion or examination report: A copy of the written opinion or the examination report issued by the participating AMS IP Office upon which the ASPEC request is based.</w:t>
      </w:r>
    </w:p>
    <w:p w14:paraId="72549378" w14:textId="70355E1A" w:rsidR="009A3457" w:rsidRPr="009A3457" w:rsidRDefault="009A3457" w:rsidP="009A3457">
      <w:pPr>
        <w:pStyle w:val="ListParagraph"/>
        <w:numPr>
          <w:ilvl w:val="0"/>
          <w:numId w:val="18"/>
        </w:numPr>
        <w:spacing w:after="0" w:line="240" w:lineRule="auto"/>
        <w:ind w:left="567" w:hanging="567"/>
        <w:jc w:val="both"/>
        <w:rPr>
          <w:rFonts w:ascii="Arial" w:hAnsi="Arial" w:cs="Arial"/>
          <w:iCs/>
          <w:sz w:val="20"/>
          <w:szCs w:val="20"/>
        </w:rPr>
      </w:pPr>
      <w:r w:rsidRPr="009A3457">
        <w:rPr>
          <w:rFonts w:ascii="Arial" w:hAnsi="Arial" w:cs="Arial"/>
          <w:iCs/>
          <w:sz w:val="20"/>
          <w:szCs w:val="20"/>
        </w:rPr>
        <w:t>Claims referred to in the written opinion or the examination report.</w:t>
      </w:r>
    </w:p>
    <w:p w14:paraId="31AA6079" w14:textId="738A7372" w:rsidR="009A3457" w:rsidRPr="009A3457" w:rsidRDefault="009A3457" w:rsidP="009A3457">
      <w:pPr>
        <w:pStyle w:val="ListParagraph"/>
        <w:numPr>
          <w:ilvl w:val="0"/>
          <w:numId w:val="18"/>
        </w:numPr>
        <w:spacing w:after="0" w:line="240" w:lineRule="auto"/>
        <w:ind w:left="567" w:hanging="567"/>
        <w:jc w:val="both"/>
        <w:rPr>
          <w:rFonts w:ascii="Arial" w:hAnsi="Arial" w:cs="Arial"/>
          <w:iCs/>
          <w:sz w:val="20"/>
          <w:szCs w:val="20"/>
        </w:rPr>
      </w:pPr>
      <w:r w:rsidRPr="009A3457">
        <w:rPr>
          <w:rFonts w:ascii="Arial" w:hAnsi="Arial" w:cs="Arial"/>
          <w:iCs/>
          <w:sz w:val="20"/>
          <w:szCs w:val="20"/>
        </w:rPr>
        <w:t>Claims correspondence table: A table that indicates how all claims in the patent application to be requested ASPEC sufficiently correspond to one or more of the claims indicated as allowable/patentable in the corresponding application.</w:t>
      </w:r>
    </w:p>
    <w:p w14:paraId="7043E1CA" w14:textId="7EA0737D" w:rsidR="009A3457" w:rsidRPr="009A3457" w:rsidRDefault="009A3457" w:rsidP="009A3457">
      <w:pPr>
        <w:pStyle w:val="ListParagraph"/>
        <w:numPr>
          <w:ilvl w:val="0"/>
          <w:numId w:val="18"/>
        </w:numPr>
        <w:spacing w:after="0" w:line="240" w:lineRule="auto"/>
        <w:ind w:left="567" w:hanging="567"/>
        <w:jc w:val="both"/>
        <w:rPr>
          <w:rFonts w:ascii="Arial" w:hAnsi="Arial" w:cs="Arial"/>
          <w:iCs/>
          <w:sz w:val="20"/>
          <w:szCs w:val="20"/>
        </w:rPr>
      </w:pPr>
      <w:r w:rsidRPr="009A3457">
        <w:rPr>
          <w:rFonts w:ascii="Arial" w:hAnsi="Arial" w:cs="Arial"/>
          <w:iCs/>
          <w:sz w:val="20"/>
          <w:szCs w:val="20"/>
        </w:rPr>
        <w:t>Any preliminary amendments made to the application based on the written opinion or the examination report.</w:t>
      </w:r>
    </w:p>
    <w:p w14:paraId="7739E86F" w14:textId="090EF959" w:rsidR="009A3457" w:rsidRPr="009A3457" w:rsidRDefault="009A3457" w:rsidP="009A3457">
      <w:pPr>
        <w:pStyle w:val="ListParagraph"/>
        <w:numPr>
          <w:ilvl w:val="0"/>
          <w:numId w:val="18"/>
        </w:numPr>
        <w:spacing w:after="0" w:line="240" w:lineRule="auto"/>
        <w:ind w:left="567" w:hanging="567"/>
        <w:jc w:val="both"/>
        <w:rPr>
          <w:rFonts w:ascii="Arial" w:hAnsi="Arial" w:cs="Arial"/>
          <w:iCs/>
          <w:sz w:val="20"/>
          <w:szCs w:val="20"/>
        </w:rPr>
      </w:pPr>
      <w:r w:rsidRPr="009A3457">
        <w:rPr>
          <w:rFonts w:ascii="Arial" w:hAnsi="Arial" w:cs="Arial"/>
          <w:iCs/>
          <w:sz w:val="20"/>
          <w:szCs w:val="20"/>
        </w:rPr>
        <w:t>A copy of the patent granted by the participating AMS IP Office, if available.</w:t>
      </w:r>
    </w:p>
    <w:p w14:paraId="0396D374" w14:textId="77777777" w:rsidR="009A3457" w:rsidRPr="009A3457" w:rsidRDefault="009A3457" w:rsidP="009A3457">
      <w:pPr>
        <w:spacing w:after="0" w:line="240" w:lineRule="auto"/>
        <w:jc w:val="both"/>
        <w:rPr>
          <w:rFonts w:ascii="Arial" w:hAnsi="Arial" w:cs="Arial"/>
          <w:iCs/>
          <w:sz w:val="20"/>
          <w:szCs w:val="20"/>
        </w:rPr>
      </w:pPr>
    </w:p>
    <w:p w14:paraId="4C3AB69F" w14:textId="77777777" w:rsidR="009A3457" w:rsidRPr="009A3457" w:rsidRDefault="009A3457" w:rsidP="009A3457">
      <w:pPr>
        <w:spacing w:after="0" w:line="240" w:lineRule="auto"/>
        <w:jc w:val="both"/>
        <w:rPr>
          <w:rFonts w:ascii="Arial" w:hAnsi="Arial" w:cs="Arial"/>
          <w:b/>
          <w:iCs/>
          <w:color w:val="0000FF"/>
          <w:sz w:val="20"/>
          <w:szCs w:val="20"/>
        </w:rPr>
      </w:pPr>
      <w:r w:rsidRPr="009A3457">
        <w:rPr>
          <w:rFonts w:ascii="Arial" w:hAnsi="Arial" w:cs="Arial"/>
          <w:b/>
          <w:iCs/>
          <w:color w:val="0000FF"/>
          <w:sz w:val="20"/>
          <w:szCs w:val="20"/>
        </w:rPr>
        <w:t>5. What are required minimum documents for requesting ASPEC &amp; ASPEC AIM?</w:t>
      </w:r>
    </w:p>
    <w:p w14:paraId="037CD56C" w14:textId="77777777" w:rsidR="009A3457" w:rsidRPr="009A3457" w:rsidRDefault="009A3457" w:rsidP="009A3457">
      <w:pPr>
        <w:spacing w:after="0" w:line="240" w:lineRule="auto"/>
        <w:jc w:val="both"/>
        <w:rPr>
          <w:rFonts w:ascii="Arial" w:hAnsi="Arial" w:cs="Arial"/>
          <w:iCs/>
          <w:sz w:val="20"/>
          <w:szCs w:val="20"/>
        </w:rPr>
      </w:pPr>
    </w:p>
    <w:p w14:paraId="671433AC" w14:textId="6D210B7F" w:rsidR="009A3457" w:rsidRPr="009A3457" w:rsidRDefault="009A3457" w:rsidP="009A3457">
      <w:pPr>
        <w:spacing w:after="0" w:line="240" w:lineRule="auto"/>
        <w:jc w:val="both"/>
        <w:rPr>
          <w:rFonts w:ascii="Arial" w:hAnsi="Arial" w:cs="Arial"/>
          <w:iCs/>
          <w:sz w:val="20"/>
          <w:szCs w:val="20"/>
        </w:rPr>
      </w:pPr>
      <w:r w:rsidRPr="009A3457">
        <w:rPr>
          <w:rFonts w:ascii="Arial" w:hAnsi="Arial" w:cs="Arial"/>
          <w:iCs/>
          <w:sz w:val="20"/>
          <w:szCs w:val="20"/>
        </w:rPr>
        <w:t>The applicant is required to file a duly completed ASPEC Request Form in the second IP Office. (Note: The ASPEC Request Form is not required to be filed in the first IP Office).</w:t>
      </w:r>
    </w:p>
    <w:p w14:paraId="0D0F4A78" w14:textId="77777777" w:rsidR="009A3457" w:rsidRPr="009A3457" w:rsidRDefault="009A3457" w:rsidP="009A3457">
      <w:pPr>
        <w:spacing w:after="0" w:line="240" w:lineRule="auto"/>
        <w:jc w:val="both"/>
        <w:rPr>
          <w:rFonts w:ascii="Arial" w:hAnsi="Arial" w:cs="Arial"/>
          <w:iCs/>
          <w:sz w:val="20"/>
          <w:szCs w:val="20"/>
        </w:rPr>
      </w:pPr>
      <w:r w:rsidRPr="009A3457">
        <w:rPr>
          <w:rFonts w:ascii="Arial" w:hAnsi="Arial" w:cs="Arial"/>
          <w:iCs/>
          <w:sz w:val="20"/>
          <w:szCs w:val="20"/>
        </w:rPr>
        <w:t xml:space="preserve"> </w:t>
      </w:r>
    </w:p>
    <w:p w14:paraId="1EA8902C" w14:textId="77777777" w:rsidR="009A3457" w:rsidRPr="009A3457" w:rsidRDefault="009A3457" w:rsidP="009A3457">
      <w:pPr>
        <w:spacing w:after="0" w:line="240" w:lineRule="auto"/>
        <w:jc w:val="both"/>
        <w:rPr>
          <w:rFonts w:ascii="Arial" w:hAnsi="Arial" w:cs="Arial"/>
          <w:iCs/>
          <w:sz w:val="20"/>
          <w:szCs w:val="20"/>
        </w:rPr>
      </w:pPr>
      <w:r w:rsidRPr="009A3457">
        <w:rPr>
          <w:rFonts w:ascii="Arial" w:hAnsi="Arial" w:cs="Arial"/>
          <w:iCs/>
          <w:sz w:val="20"/>
          <w:szCs w:val="20"/>
        </w:rPr>
        <w:t xml:space="preserve">The ASPEC Request Form shall be accompanied by the following documents: </w:t>
      </w:r>
    </w:p>
    <w:p w14:paraId="43AFB2C3" w14:textId="65D1FF40" w:rsidR="009A3457" w:rsidRPr="009A3457" w:rsidRDefault="009A3457" w:rsidP="009A3457">
      <w:pPr>
        <w:spacing w:after="0" w:line="240" w:lineRule="auto"/>
        <w:jc w:val="both"/>
        <w:rPr>
          <w:rFonts w:ascii="Arial" w:hAnsi="Arial" w:cs="Arial"/>
          <w:iCs/>
          <w:sz w:val="20"/>
          <w:szCs w:val="20"/>
        </w:rPr>
      </w:pPr>
    </w:p>
    <w:p w14:paraId="4669C752" w14:textId="597D2E06" w:rsidR="009A3457" w:rsidRPr="009A3457" w:rsidRDefault="009A3457" w:rsidP="009A3457">
      <w:pPr>
        <w:pStyle w:val="ListParagraph"/>
        <w:numPr>
          <w:ilvl w:val="0"/>
          <w:numId w:val="20"/>
        </w:numPr>
        <w:spacing w:after="0" w:line="240" w:lineRule="auto"/>
        <w:ind w:left="567" w:hanging="567"/>
        <w:jc w:val="both"/>
        <w:rPr>
          <w:rFonts w:ascii="Arial" w:hAnsi="Arial" w:cs="Arial"/>
          <w:iCs/>
          <w:sz w:val="20"/>
          <w:szCs w:val="20"/>
        </w:rPr>
      </w:pPr>
      <w:r w:rsidRPr="009A3457">
        <w:rPr>
          <w:rFonts w:ascii="Arial" w:hAnsi="Arial" w:cs="Arial"/>
          <w:iCs/>
          <w:sz w:val="20"/>
          <w:szCs w:val="20"/>
        </w:rPr>
        <w:t xml:space="preserve">a copy of the written opinion or the examination report (“minimum documents”) of a corresponding application from the first IP Office, and </w:t>
      </w:r>
    </w:p>
    <w:p w14:paraId="63105E84" w14:textId="043255D8" w:rsidR="009A3457" w:rsidRPr="009A3457" w:rsidRDefault="009A3457" w:rsidP="009A3457">
      <w:pPr>
        <w:pStyle w:val="ListParagraph"/>
        <w:numPr>
          <w:ilvl w:val="0"/>
          <w:numId w:val="20"/>
        </w:numPr>
        <w:spacing w:after="0" w:line="240" w:lineRule="auto"/>
        <w:ind w:left="567" w:hanging="567"/>
        <w:jc w:val="both"/>
        <w:rPr>
          <w:rFonts w:ascii="Arial" w:hAnsi="Arial" w:cs="Arial"/>
          <w:iCs/>
          <w:sz w:val="20"/>
          <w:szCs w:val="20"/>
        </w:rPr>
      </w:pPr>
      <w:r w:rsidRPr="009A3457">
        <w:rPr>
          <w:rFonts w:ascii="Arial" w:hAnsi="Arial" w:cs="Arial"/>
          <w:iCs/>
          <w:sz w:val="20"/>
          <w:szCs w:val="20"/>
        </w:rPr>
        <w:t>a copy of the claims referred to in the minimum documents submitted, with at least one claim determined by the first IP Office to be allowable/patentable.</w:t>
      </w:r>
    </w:p>
    <w:p w14:paraId="0606E3F8" w14:textId="77777777" w:rsidR="009A3457" w:rsidRPr="009A3457" w:rsidRDefault="009A3457" w:rsidP="009A3457">
      <w:pPr>
        <w:spacing w:after="0" w:line="240" w:lineRule="auto"/>
        <w:jc w:val="both"/>
        <w:rPr>
          <w:rFonts w:ascii="Arial" w:hAnsi="Arial" w:cs="Arial"/>
          <w:iCs/>
          <w:sz w:val="20"/>
          <w:szCs w:val="20"/>
        </w:rPr>
      </w:pPr>
    </w:p>
    <w:p w14:paraId="516457CA" w14:textId="13AE9AF3" w:rsidR="009A3457" w:rsidRPr="009A3457" w:rsidRDefault="009A3457" w:rsidP="009A3457">
      <w:pPr>
        <w:spacing w:after="0" w:line="240" w:lineRule="auto"/>
        <w:jc w:val="both"/>
        <w:rPr>
          <w:rFonts w:ascii="Arial" w:hAnsi="Arial" w:cs="Arial"/>
          <w:iCs/>
          <w:sz w:val="20"/>
          <w:szCs w:val="20"/>
        </w:rPr>
      </w:pPr>
      <w:r w:rsidRPr="009A3457">
        <w:rPr>
          <w:rFonts w:ascii="Arial" w:hAnsi="Arial" w:cs="Arial"/>
          <w:iCs/>
          <w:sz w:val="20"/>
          <w:szCs w:val="20"/>
        </w:rPr>
        <w:t>At the time of filing ASPEC request, in addition to the above required minimum documents, the claim correspondence table should be further submitted to facilitate the examination process.</w:t>
      </w:r>
    </w:p>
    <w:p w14:paraId="1188D127" w14:textId="77777777" w:rsidR="009A3457" w:rsidRPr="009A3457" w:rsidRDefault="009A3457" w:rsidP="009A3457">
      <w:pPr>
        <w:spacing w:after="0" w:line="240" w:lineRule="auto"/>
        <w:jc w:val="both"/>
        <w:rPr>
          <w:rFonts w:ascii="Arial" w:hAnsi="Arial" w:cs="Arial"/>
          <w:iCs/>
          <w:sz w:val="20"/>
          <w:szCs w:val="20"/>
        </w:rPr>
      </w:pPr>
    </w:p>
    <w:p w14:paraId="48CC86CE" w14:textId="3161AC3B" w:rsidR="009A3457" w:rsidRPr="009A3457" w:rsidRDefault="009A3457" w:rsidP="009A3457">
      <w:pPr>
        <w:spacing w:after="0" w:line="240" w:lineRule="auto"/>
        <w:jc w:val="both"/>
        <w:rPr>
          <w:rFonts w:ascii="Arial" w:hAnsi="Arial" w:cs="Arial"/>
          <w:iCs/>
          <w:sz w:val="20"/>
          <w:szCs w:val="20"/>
        </w:rPr>
      </w:pPr>
      <w:r w:rsidRPr="009A3457">
        <w:rPr>
          <w:rFonts w:ascii="Arial" w:hAnsi="Arial" w:cs="Arial"/>
          <w:iCs/>
          <w:sz w:val="20"/>
          <w:szCs w:val="20"/>
        </w:rPr>
        <w:t>The submission by the applicant of the S&amp;E results issued by an AMS for an unpublished application to another AMS Office is consent for the other AMS to use the S&amp;E results. For unpublished applications, the S&amp;E results issued by the IP Office of the Philippines in this regard constitute a waiver of confidentiality.</w:t>
      </w:r>
    </w:p>
    <w:p w14:paraId="695C6B2B" w14:textId="4EF1F892" w:rsidR="009A3457" w:rsidRPr="009A3457" w:rsidRDefault="009A3457" w:rsidP="009A3457">
      <w:pPr>
        <w:spacing w:after="0" w:line="240" w:lineRule="auto"/>
        <w:jc w:val="both"/>
        <w:rPr>
          <w:rFonts w:ascii="Arial" w:hAnsi="Arial" w:cs="Arial"/>
          <w:iCs/>
          <w:sz w:val="20"/>
          <w:szCs w:val="20"/>
        </w:rPr>
      </w:pPr>
    </w:p>
    <w:p w14:paraId="198844C3" w14:textId="431E3A23" w:rsidR="009A3457" w:rsidRPr="009A3457" w:rsidRDefault="009A3457" w:rsidP="009A3457">
      <w:pPr>
        <w:spacing w:after="0" w:line="240" w:lineRule="auto"/>
        <w:jc w:val="both"/>
        <w:rPr>
          <w:rFonts w:ascii="Arial" w:hAnsi="Arial" w:cs="Arial"/>
          <w:iCs/>
          <w:sz w:val="20"/>
          <w:szCs w:val="20"/>
        </w:rPr>
      </w:pPr>
      <w:r w:rsidRPr="009A3457">
        <w:rPr>
          <w:rFonts w:ascii="Arial" w:hAnsi="Arial" w:cs="Arial"/>
          <w:iCs/>
          <w:sz w:val="20"/>
          <w:szCs w:val="20"/>
        </w:rPr>
        <w:t xml:space="preserve">The applicant can submit more than 1 written opinion from participating AMS IP Office if the written opinions support the scope of the patent application. </w:t>
      </w:r>
    </w:p>
    <w:p w14:paraId="1BC2B526" w14:textId="246846E6" w:rsidR="009A3457" w:rsidRPr="009A3457" w:rsidRDefault="009A3457" w:rsidP="009A3457">
      <w:pPr>
        <w:spacing w:after="0" w:line="240" w:lineRule="auto"/>
        <w:jc w:val="both"/>
        <w:rPr>
          <w:rFonts w:ascii="Arial" w:hAnsi="Arial" w:cs="Arial"/>
          <w:iCs/>
          <w:sz w:val="20"/>
          <w:szCs w:val="20"/>
        </w:rPr>
      </w:pPr>
    </w:p>
    <w:p w14:paraId="17AC3126" w14:textId="4ED73068" w:rsidR="009A3457" w:rsidRPr="009A3457" w:rsidRDefault="009A3457" w:rsidP="009A3457">
      <w:pPr>
        <w:spacing w:after="0" w:line="240" w:lineRule="auto"/>
        <w:jc w:val="both"/>
        <w:rPr>
          <w:rFonts w:ascii="Arial" w:hAnsi="Arial" w:cs="Arial"/>
          <w:iCs/>
          <w:sz w:val="20"/>
          <w:szCs w:val="20"/>
        </w:rPr>
      </w:pPr>
      <w:r w:rsidRPr="009A3457">
        <w:rPr>
          <w:rFonts w:ascii="Arial" w:hAnsi="Arial" w:cs="Arial"/>
          <w:iCs/>
          <w:sz w:val="20"/>
          <w:szCs w:val="20"/>
        </w:rPr>
        <w:t xml:space="preserve">For </w:t>
      </w:r>
      <w:r w:rsidRPr="006A0D22">
        <w:rPr>
          <w:rFonts w:ascii="Arial" w:hAnsi="Arial" w:cs="Arial"/>
          <w:b/>
          <w:iCs/>
          <w:sz w:val="20"/>
          <w:szCs w:val="20"/>
        </w:rPr>
        <w:t>ASPEC AIM</w:t>
      </w:r>
      <w:r w:rsidRPr="009A3457">
        <w:rPr>
          <w:rFonts w:ascii="Arial" w:hAnsi="Arial" w:cs="Arial"/>
          <w:iCs/>
          <w:sz w:val="20"/>
          <w:szCs w:val="20"/>
        </w:rPr>
        <w:t xml:space="preserve"> </w:t>
      </w:r>
      <w:r w:rsidRPr="006A0D22">
        <w:rPr>
          <w:rFonts w:ascii="Arial" w:hAnsi="Arial" w:cs="Arial"/>
          <w:b/>
          <w:iCs/>
          <w:sz w:val="20"/>
          <w:szCs w:val="20"/>
        </w:rPr>
        <w:t>request</w:t>
      </w:r>
      <w:r w:rsidRPr="009A3457">
        <w:rPr>
          <w:rFonts w:ascii="Arial" w:hAnsi="Arial" w:cs="Arial"/>
          <w:iCs/>
          <w:sz w:val="20"/>
          <w:szCs w:val="20"/>
        </w:rPr>
        <w:t xml:space="preserve">, applicants should indicate that the request is for ASPEC AIM in the ASPEC form under Remarks. In addition, applicants are also required to email the monitoring authority (aspec@ipos.gov.sg) and respective ASPEC AIM focal point. Information that needs to be provided include: </w:t>
      </w:r>
    </w:p>
    <w:p w14:paraId="43E63713" w14:textId="77777777" w:rsidR="009A3457" w:rsidRPr="009A3457" w:rsidRDefault="009A3457" w:rsidP="009A3457">
      <w:pPr>
        <w:spacing w:after="0" w:line="240" w:lineRule="auto"/>
        <w:ind w:hanging="709"/>
        <w:jc w:val="both"/>
        <w:rPr>
          <w:rFonts w:ascii="Arial" w:hAnsi="Arial" w:cs="Arial"/>
          <w:iCs/>
          <w:sz w:val="20"/>
          <w:szCs w:val="20"/>
        </w:rPr>
      </w:pPr>
    </w:p>
    <w:p w14:paraId="71DBBD8C" w14:textId="2F97188B" w:rsidR="009A3457" w:rsidRPr="009A3457" w:rsidRDefault="009A3457" w:rsidP="009A3457">
      <w:pPr>
        <w:pStyle w:val="ListParagraph"/>
        <w:numPr>
          <w:ilvl w:val="0"/>
          <w:numId w:val="22"/>
        </w:numPr>
        <w:spacing w:after="0" w:line="240" w:lineRule="auto"/>
        <w:ind w:left="709" w:hanging="709"/>
        <w:jc w:val="both"/>
        <w:rPr>
          <w:rFonts w:ascii="Arial" w:hAnsi="Arial" w:cs="Arial"/>
          <w:iCs/>
          <w:sz w:val="20"/>
          <w:szCs w:val="20"/>
        </w:rPr>
      </w:pPr>
      <w:r w:rsidRPr="009A3457">
        <w:rPr>
          <w:rFonts w:ascii="Arial" w:hAnsi="Arial" w:cs="Arial"/>
          <w:iCs/>
          <w:sz w:val="20"/>
          <w:szCs w:val="20"/>
        </w:rPr>
        <w:t xml:space="preserve">Application no. from first IP Office; </w:t>
      </w:r>
    </w:p>
    <w:p w14:paraId="1603A869" w14:textId="11649285" w:rsidR="009A3457" w:rsidRPr="009A3457" w:rsidRDefault="009A3457" w:rsidP="009A3457">
      <w:pPr>
        <w:pStyle w:val="ListParagraph"/>
        <w:numPr>
          <w:ilvl w:val="0"/>
          <w:numId w:val="22"/>
        </w:numPr>
        <w:spacing w:after="0" w:line="240" w:lineRule="auto"/>
        <w:ind w:left="709" w:hanging="709"/>
        <w:jc w:val="both"/>
        <w:rPr>
          <w:rFonts w:ascii="Arial" w:hAnsi="Arial" w:cs="Arial"/>
          <w:iCs/>
          <w:sz w:val="20"/>
          <w:szCs w:val="20"/>
        </w:rPr>
      </w:pPr>
      <w:r w:rsidRPr="009A3457">
        <w:rPr>
          <w:rFonts w:ascii="Arial" w:hAnsi="Arial" w:cs="Arial"/>
          <w:iCs/>
          <w:sz w:val="20"/>
          <w:szCs w:val="20"/>
        </w:rPr>
        <w:t xml:space="preserve">Desired second IP Office and application no. in the Second IP Office; </w:t>
      </w:r>
    </w:p>
    <w:p w14:paraId="2560840F" w14:textId="1104BC88" w:rsidR="009A3457" w:rsidRPr="009A3457" w:rsidRDefault="009A3457" w:rsidP="009A3457">
      <w:pPr>
        <w:pStyle w:val="ListParagraph"/>
        <w:numPr>
          <w:ilvl w:val="0"/>
          <w:numId w:val="22"/>
        </w:numPr>
        <w:spacing w:after="0" w:line="240" w:lineRule="auto"/>
        <w:ind w:left="709" w:hanging="709"/>
        <w:jc w:val="both"/>
        <w:rPr>
          <w:rFonts w:ascii="Arial" w:hAnsi="Arial" w:cs="Arial"/>
          <w:iCs/>
          <w:sz w:val="20"/>
          <w:szCs w:val="20"/>
        </w:rPr>
      </w:pPr>
      <w:r w:rsidRPr="009A3457">
        <w:rPr>
          <w:rFonts w:ascii="Arial" w:hAnsi="Arial" w:cs="Arial"/>
          <w:iCs/>
          <w:sz w:val="20"/>
          <w:szCs w:val="20"/>
        </w:rPr>
        <w:t xml:space="preserve">Date of request; </w:t>
      </w:r>
    </w:p>
    <w:p w14:paraId="02B70AF8" w14:textId="33F4D375" w:rsidR="009A3457" w:rsidRPr="009A3457" w:rsidRDefault="009A3457" w:rsidP="009A3457">
      <w:pPr>
        <w:pStyle w:val="ListParagraph"/>
        <w:numPr>
          <w:ilvl w:val="0"/>
          <w:numId w:val="22"/>
        </w:numPr>
        <w:spacing w:after="0" w:line="240" w:lineRule="auto"/>
        <w:ind w:left="709" w:hanging="709"/>
        <w:jc w:val="both"/>
        <w:rPr>
          <w:rFonts w:ascii="Arial" w:hAnsi="Arial" w:cs="Arial"/>
          <w:iCs/>
          <w:sz w:val="20"/>
          <w:szCs w:val="20"/>
        </w:rPr>
      </w:pPr>
      <w:r w:rsidRPr="009A3457">
        <w:rPr>
          <w:rFonts w:ascii="Arial" w:hAnsi="Arial" w:cs="Arial"/>
          <w:iCs/>
          <w:sz w:val="20"/>
          <w:szCs w:val="20"/>
        </w:rPr>
        <w:t xml:space="preserve">Reliance on written opinion or Examination report; and </w:t>
      </w:r>
    </w:p>
    <w:p w14:paraId="432C8590" w14:textId="2948E9EA" w:rsidR="009A3457" w:rsidRPr="009A3457" w:rsidRDefault="009A3457" w:rsidP="009A3457">
      <w:pPr>
        <w:pStyle w:val="ListParagraph"/>
        <w:numPr>
          <w:ilvl w:val="0"/>
          <w:numId w:val="22"/>
        </w:numPr>
        <w:spacing w:after="0" w:line="240" w:lineRule="auto"/>
        <w:ind w:left="709" w:hanging="709"/>
        <w:jc w:val="both"/>
        <w:rPr>
          <w:rFonts w:ascii="Arial" w:hAnsi="Arial" w:cs="Arial"/>
          <w:iCs/>
          <w:sz w:val="20"/>
          <w:szCs w:val="20"/>
        </w:rPr>
      </w:pPr>
      <w:r w:rsidRPr="009A3457">
        <w:rPr>
          <w:rFonts w:ascii="Arial" w:hAnsi="Arial" w:cs="Arial"/>
          <w:iCs/>
          <w:sz w:val="20"/>
          <w:szCs w:val="20"/>
        </w:rPr>
        <w:t xml:space="preserve">Applicant. </w:t>
      </w:r>
    </w:p>
    <w:p w14:paraId="1E0CCB5F" w14:textId="77777777" w:rsidR="009A3457" w:rsidRPr="009A3457" w:rsidRDefault="009A3457" w:rsidP="009A3457">
      <w:pPr>
        <w:spacing w:after="0" w:line="240" w:lineRule="auto"/>
        <w:jc w:val="both"/>
        <w:rPr>
          <w:rFonts w:ascii="Arial" w:hAnsi="Arial" w:cs="Arial"/>
          <w:iCs/>
          <w:sz w:val="20"/>
          <w:szCs w:val="20"/>
        </w:rPr>
      </w:pPr>
    </w:p>
    <w:p w14:paraId="6BE2AEC3" w14:textId="77777777" w:rsidR="009A3457" w:rsidRPr="009A3457" w:rsidRDefault="009A3457" w:rsidP="009A3457">
      <w:pPr>
        <w:spacing w:after="0" w:line="240" w:lineRule="auto"/>
        <w:jc w:val="both"/>
        <w:rPr>
          <w:rFonts w:ascii="Arial" w:hAnsi="Arial" w:cs="Arial"/>
          <w:iCs/>
          <w:sz w:val="20"/>
          <w:szCs w:val="20"/>
        </w:rPr>
      </w:pPr>
      <w:r w:rsidRPr="009A3457">
        <w:rPr>
          <w:rFonts w:ascii="Arial" w:hAnsi="Arial" w:cs="Arial"/>
          <w:iCs/>
          <w:sz w:val="20"/>
          <w:szCs w:val="20"/>
        </w:rPr>
        <w:t xml:space="preserve">For </w:t>
      </w:r>
      <w:r w:rsidRPr="009A3457">
        <w:rPr>
          <w:rFonts w:ascii="Arial" w:hAnsi="Arial" w:cs="Arial"/>
          <w:b/>
          <w:iCs/>
          <w:sz w:val="20"/>
          <w:szCs w:val="20"/>
        </w:rPr>
        <w:t>ASPEC request</w:t>
      </w:r>
      <w:r w:rsidRPr="009A3457">
        <w:rPr>
          <w:rFonts w:ascii="Arial" w:hAnsi="Arial" w:cs="Arial"/>
          <w:iCs/>
          <w:sz w:val="20"/>
          <w:szCs w:val="20"/>
        </w:rPr>
        <w:t xml:space="preserve"> which relies on a written opinion or written opinions, applicants are required to email the monitoring authority (aspec@ipos.gov.sg) and respective ASPEC focal point. Information that needs to be provided include:</w:t>
      </w:r>
    </w:p>
    <w:p w14:paraId="725751F8" w14:textId="77777777" w:rsidR="009A3457" w:rsidRPr="009A3457" w:rsidRDefault="009A3457" w:rsidP="009A3457">
      <w:pPr>
        <w:spacing w:after="0" w:line="240" w:lineRule="auto"/>
        <w:jc w:val="both"/>
        <w:rPr>
          <w:rFonts w:ascii="Arial" w:hAnsi="Arial" w:cs="Arial"/>
          <w:iCs/>
          <w:sz w:val="20"/>
          <w:szCs w:val="20"/>
        </w:rPr>
      </w:pPr>
    </w:p>
    <w:p w14:paraId="1AF07CED" w14:textId="77777777" w:rsidR="009A3457" w:rsidRPr="009A3457" w:rsidRDefault="009A3457" w:rsidP="009A3457">
      <w:pPr>
        <w:spacing w:after="0" w:line="240" w:lineRule="auto"/>
        <w:jc w:val="both"/>
        <w:rPr>
          <w:rFonts w:ascii="Arial" w:hAnsi="Arial" w:cs="Arial"/>
          <w:iCs/>
          <w:sz w:val="20"/>
          <w:szCs w:val="20"/>
        </w:rPr>
      </w:pPr>
      <w:r w:rsidRPr="009A3457">
        <w:rPr>
          <w:rFonts w:ascii="Arial" w:hAnsi="Arial" w:cs="Arial"/>
          <w:iCs/>
          <w:sz w:val="20"/>
          <w:szCs w:val="20"/>
        </w:rPr>
        <w:t>(</w:t>
      </w:r>
      <w:proofErr w:type="spellStart"/>
      <w:r w:rsidRPr="009A3457">
        <w:rPr>
          <w:rFonts w:ascii="Arial" w:hAnsi="Arial" w:cs="Arial"/>
          <w:iCs/>
          <w:sz w:val="20"/>
          <w:szCs w:val="20"/>
        </w:rPr>
        <w:t>i</w:t>
      </w:r>
      <w:proofErr w:type="spellEnd"/>
      <w:r w:rsidRPr="009A3457">
        <w:rPr>
          <w:rFonts w:ascii="Arial" w:hAnsi="Arial" w:cs="Arial"/>
          <w:iCs/>
          <w:sz w:val="20"/>
          <w:szCs w:val="20"/>
        </w:rPr>
        <w:t>)</w:t>
      </w:r>
      <w:r w:rsidRPr="009A3457">
        <w:rPr>
          <w:rFonts w:ascii="Arial" w:hAnsi="Arial" w:cs="Arial"/>
          <w:iCs/>
          <w:sz w:val="20"/>
          <w:szCs w:val="20"/>
        </w:rPr>
        <w:tab/>
        <w:t xml:space="preserve">Application no. from first IP Office; </w:t>
      </w:r>
    </w:p>
    <w:p w14:paraId="16F53DE2" w14:textId="77777777" w:rsidR="009A3457" w:rsidRPr="009A3457" w:rsidRDefault="009A3457" w:rsidP="009A3457">
      <w:pPr>
        <w:spacing w:after="0" w:line="240" w:lineRule="auto"/>
        <w:jc w:val="both"/>
        <w:rPr>
          <w:rFonts w:ascii="Arial" w:hAnsi="Arial" w:cs="Arial"/>
          <w:iCs/>
          <w:sz w:val="20"/>
          <w:szCs w:val="20"/>
        </w:rPr>
      </w:pPr>
      <w:r w:rsidRPr="009A3457">
        <w:rPr>
          <w:rFonts w:ascii="Arial" w:hAnsi="Arial" w:cs="Arial"/>
          <w:iCs/>
          <w:sz w:val="20"/>
          <w:szCs w:val="20"/>
        </w:rPr>
        <w:t>(ii)</w:t>
      </w:r>
      <w:r w:rsidRPr="009A3457">
        <w:rPr>
          <w:rFonts w:ascii="Arial" w:hAnsi="Arial" w:cs="Arial"/>
          <w:iCs/>
          <w:sz w:val="20"/>
          <w:szCs w:val="20"/>
        </w:rPr>
        <w:tab/>
        <w:t>Desired second IP Office and application no. in the Second IP Office;</w:t>
      </w:r>
    </w:p>
    <w:p w14:paraId="5953B9E7" w14:textId="77777777" w:rsidR="009A3457" w:rsidRPr="009A3457" w:rsidRDefault="009A3457" w:rsidP="009A3457">
      <w:pPr>
        <w:spacing w:after="0" w:line="240" w:lineRule="auto"/>
        <w:jc w:val="both"/>
        <w:rPr>
          <w:rFonts w:ascii="Arial" w:hAnsi="Arial" w:cs="Arial"/>
          <w:iCs/>
          <w:sz w:val="20"/>
          <w:szCs w:val="20"/>
        </w:rPr>
      </w:pPr>
      <w:r w:rsidRPr="009A3457">
        <w:rPr>
          <w:rFonts w:ascii="Arial" w:hAnsi="Arial" w:cs="Arial"/>
          <w:iCs/>
          <w:sz w:val="20"/>
          <w:szCs w:val="20"/>
        </w:rPr>
        <w:t>(iii)</w:t>
      </w:r>
      <w:r w:rsidRPr="009A3457">
        <w:rPr>
          <w:rFonts w:ascii="Arial" w:hAnsi="Arial" w:cs="Arial"/>
          <w:iCs/>
          <w:sz w:val="20"/>
          <w:szCs w:val="20"/>
        </w:rPr>
        <w:tab/>
        <w:t>Date of request;</w:t>
      </w:r>
    </w:p>
    <w:p w14:paraId="7C0FB299" w14:textId="77777777" w:rsidR="009A3457" w:rsidRPr="009A3457" w:rsidRDefault="009A3457" w:rsidP="009A3457">
      <w:pPr>
        <w:spacing w:after="0" w:line="240" w:lineRule="auto"/>
        <w:jc w:val="both"/>
        <w:rPr>
          <w:rFonts w:ascii="Arial" w:hAnsi="Arial" w:cs="Arial"/>
          <w:iCs/>
          <w:sz w:val="20"/>
          <w:szCs w:val="20"/>
        </w:rPr>
      </w:pPr>
      <w:r w:rsidRPr="009A3457">
        <w:rPr>
          <w:rFonts w:ascii="Arial" w:hAnsi="Arial" w:cs="Arial"/>
          <w:iCs/>
          <w:sz w:val="20"/>
          <w:szCs w:val="20"/>
        </w:rPr>
        <w:t>(iv)</w:t>
      </w:r>
      <w:r w:rsidRPr="009A3457">
        <w:rPr>
          <w:rFonts w:ascii="Arial" w:hAnsi="Arial" w:cs="Arial"/>
          <w:iCs/>
          <w:sz w:val="20"/>
          <w:szCs w:val="20"/>
        </w:rPr>
        <w:tab/>
        <w:t xml:space="preserve">Reliance on written opinion or written opinions; and </w:t>
      </w:r>
    </w:p>
    <w:p w14:paraId="01439611" w14:textId="77777777" w:rsidR="009A3457" w:rsidRPr="009A3457" w:rsidRDefault="009A3457" w:rsidP="009A3457">
      <w:pPr>
        <w:spacing w:after="0" w:line="240" w:lineRule="auto"/>
        <w:jc w:val="both"/>
        <w:rPr>
          <w:rFonts w:ascii="Arial" w:hAnsi="Arial" w:cs="Arial"/>
          <w:iCs/>
          <w:sz w:val="20"/>
          <w:szCs w:val="20"/>
        </w:rPr>
      </w:pPr>
      <w:r w:rsidRPr="009A3457">
        <w:rPr>
          <w:rFonts w:ascii="Arial" w:hAnsi="Arial" w:cs="Arial"/>
          <w:iCs/>
          <w:sz w:val="20"/>
          <w:szCs w:val="20"/>
        </w:rPr>
        <w:t>(v)</w:t>
      </w:r>
      <w:r w:rsidRPr="009A3457">
        <w:rPr>
          <w:rFonts w:ascii="Arial" w:hAnsi="Arial" w:cs="Arial"/>
          <w:iCs/>
          <w:sz w:val="20"/>
          <w:szCs w:val="20"/>
        </w:rPr>
        <w:tab/>
        <w:t>Applicant</w:t>
      </w:r>
    </w:p>
    <w:p w14:paraId="18E0AEAB" w14:textId="77777777" w:rsidR="009A3457" w:rsidRPr="009A3457" w:rsidRDefault="009A3457" w:rsidP="009A3457">
      <w:pPr>
        <w:spacing w:after="0" w:line="240" w:lineRule="auto"/>
        <w:jc w:val="both"/>
        <w:rPr>
          <w:rFonts w:ascii="Arial" w:hAnsi="Arial" w:cs="Arial"/>
          <w:iCs/>
          <w:sz w:val="20"/>
          <w:szCs w:val="20"/>
        </w:rPr>
      </w:pPr>
    </w:p>
    <w:p w14:paraId="646B2C16" w14:textId="77777777" w:rsidR="006A0D22" w:rsidRDefault="006A0D22" w:rsidP="009A3457">
      <w:pPr>
        <w:spacing w:after="0" w:line="240" w:lineRule="auto"/>
        <w:jc w:val="both"/>
        <w:rPr>
          <w:rFonts w:ascii="Arial" w:hAnsi="Arial" w:cs="Arial"/>
          <w:b/>
          <w:iCs/>
          <w:color w:val="0000FF"/>
          <w:sz w:val="20"/>
          <w:szCs w:val="20"/>
        </w:rPr>
      </w:pPr>
    </w:p>
    <w:p w14:paraId="7E999B34" w14:textId="028F4788" w:rsidR="009A3457" w:rsidRPr="009A3457" w:rsidRDefault="006A0D22" w:rsidP="009A3457">
      <w:pPr>
        <w:spacing w:after="0" w:line="240" w:lineRule="auto"/>
        <w:jc w:val="both"/>
        <w:rPr>
          <w:rFonts w:ascii="Arial" w:hAnsi="Arial" w:cs="Arial"/>
          <w:b/>
          <w:iCs/>
          <w:color w:val="0000FF"/>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73600" behindDoc="0" locked="0" layoutInCell="1" allowOverlap="1" wp14:anchorId="19A007F8" wp14:editId="7B78E31C">
                <wp:simplePos x="0" y="0"/>
                <wp:positionH relativeFrom="column">
                  <wp:posOffset>6381750</wp:posOffset>
                </wp:positionH>
                <wp:positionV relativeFrom="paragraph">
                  <wp:posOffset>-349885</wp:posOffset>
                </wp:positionV>
                <wp:extent cx="346710" cy="10325735"/>
                <wp:effectExtent l="0" t="0" r="15240" b="18415"/>
                <wp:wrapNone/>
                <wp:docPr id="4" name="Rectangle 4"/>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6E2A71" w14:textId="77777777" w:rsidR="009A3457" w:rsidRPr="00BA68B8" w:rsidRDefault="009A3457" w:rsidP="009A3457">
                            <w:pPr>
                              <w:spacing w:after="0" w:line="240" w:lineRule="auto"/>
                              <w:rPr>
                                <w:rFonts w:ascii="Arial" w:hAnsi="Arial" w:cs="Arial"/>
                                <w:b/>
                                <w:color w:val="FFFFFF" w:themeColor="background1"/>
                                <w:sz w:val="20"/>
                                <w:szCs w:val="20"/>
                              </w:rPr>
                            </w:pPr>
                            <w:r w:rsidRPr="009A3457">
                              <w:rPr>
                                <w:rFonts w:ascii="Arial" w:hAnsi="Arial" w:cs="Arial"/>
                                <w:b/>
                                <w:bCs/>
                                <w:color w:val="FFFFFF" w:themeColor="background1"/>
                                <w:sz w:val="20"/>
                                <w:szCs w:val="20"/>
                              </w:rPr>
                              <w:t>Patent granting in Vietnam and other ASEAN countries</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007F8" id="Rectangle 4" o:spid="_x0000_s1029" style="position:absolute;left:0;text-align:left;margin-left:502.5pt;margin-top:-27.55pt;width:27.3pt;height:813.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" fillcolor="#00b39c" strokecolor="#00b39c" strokeweight="0">
                <v:textbox style="layout-flow:vertical">
                  <w:txbxContent>
                    <w:p w14:paraId="766E2A71" w14:textId="77777777" w:rsidR="009A3457" w:rsidRPr="00BA68B8" w:rsidRDefault="009A3457" w:rsidP="009A3457">
                      <w:pPr>
                        <w:spacing w:after="0" w:line="240" w:lineRule="auto"/>
                        <w:rPr>
                          <w:rFonts w:ascii="Arial" w:hAnsi="Arial" w:cs="Arial"/>
                          <w:b/>
                          <w:color w:val="FFFFFF" w:themeColor="background1"/>
                          <w:sz w:val="20"/>
                          <w:szCs w:val="20"/>
                        </w:rPr>
                      </w:pPr>
                      <w:r w:rsidRPr="009A3457">
                        <w:rPr>
                          <w:rFonts w:ascii="Arial" w:hAnsi="Arial" w:cs="Arial"/>
                          <w:b/>
                          <w:bCs/>
                          <w:color w:val="FFFFFF" w:themeColor="background1"/>
                          <w:sz w:val="20"/>
                          <w:szCs w:val="20"/>
                        </w:rPr>
                        <w:t>Patent granting in Vietnam and other ASEAN countries</w:t>
                      </w:r>
                    </w:p>
                  </w:txbxContent>
                </v:textbox>
              </v:rect>
            </w:pict>
          </mc:Fallback>
        </mc:AlternateContent>
      </w:r>
      <w:r w:rsidR="009A3457" w:rsidRPr="009A3457">
        <w:rPr>
          <w:rFonts w:ascii="Arial" w:hAnsi="Arial" w:cs="Arial"/>
          <w:b/>
          <w:iCs/>
          <w:color w:val="0000FF"/>
          <w:sz w:val="20"/>
          <w:szCs w:val="20"/>
        </w:rPr>
        <w:t>6. What are required minimum documents for requesting PCT-ASPEC?</w:t>
      </w:r>
    </w:p>
    <w:p w14:paraId="65E4115D" w14:textId="56CC9C26" w:rsidR="009A3457" w:rsidRPr="009A3457" w:rsidRDefault="009A3457" w:rsidP="009A3457">
      <w:pPr>
        <w:spacing w:after="0" w:line="240" w:lineRule="auto"/>
        <w:jc w:val="both"/>
        <w:rPr>
          <w:rFonts w:ascii="Arial" w:hAnsi="Arial" w:cs="Arial"/>
          <w:iCs/>
          <w:sz w:val="20"/>
          <w:szCs w:val="20"/>
        </w:rPr>
      </w:pPr>
    </w:p>
    <w:p w14:paraId="797AFB91" w14:textId="77777777" w:rsidR="009A3457" w:rsidRPr="009A3457" w:rsidRDefault="009A3457" w:rsidP="009A3457">
      <w:pPr>
        <w:spacing w:after="0" w:line="240" w:lineRule="auto"/>
        <w:jc w:val="both"/>
        <w:rPr>
          <w:rFonts w:ascii="Arial" w:hAnsi="Arial" w:cs="Arial"/>
          <w:iCs/>
          <w:sz w:val="20"/>
          <w:szCs w:val="20"/>
        </w:rPr>
      </w:pPr>
      <w:r w:rsidRPr="006A0D22">
        <w:rPr>
          <w:rFonts w:ascii="Arial" w:hAnsi="Arial" w:cs="Arial"/>
          <w:iCs/>
          <w:color w:val="000000" w:themeColor="text1"/>
          <w:sz w:val="20"/>
          <w:szCs w:val="20"/>
        </w:rPr>
        <w:t>The documents required for requesting PCT-ASPEC are</w:t>
      </w:r>
      <w:r w:rsidRPr="009A3457">
        <w:rPr>
          <w:rFonts w:ascii="Arial" w:hAnsi="Arial" w:cs="Arial"/>
          <w:iCs/>
          <w:sz w:val="20"/>
          <w:szCs w:val="20"/>
        </w:rPr>
        <w:t>:</w:t>
      </w:r>
    </w:p>
    <w:p w14:paraId="7E11E142" w14:textId="3CA3104C" w:rsidR="009A3457" w:rsidRPr="009A3457" w:rsidRDefault="009A3457" w:rsidP="009A3457">
      <w:pPr>
        <w:spacing w:after="0" w:line="240" w:lineRule="auto"/>
        <w:jc w:val="both"/>
        <w:rPr>
          <w:rFonts w:ascii="Arial" w:hAnsi="Arial" w:cs="Arial"/>
          <w:iCs/>
          <w:sz w:val="20"/>
          <w:szCs w:val="20"/>
        </w:rPr>
      </w:pPr>
    </w:p>
    <w:p w14:paraId="0EFB9D49" w14:textId="59DC824B" w:rsidR="009A3457" w:rsidRPr="006A0D22" w:rsidRDefault="009A3457" w:rsidP="009A3457">
      <w:pPr>
        <w:pStyle w:val="ListParagraph"/>
        <w:numPr>
          <w:ilvl w:val="0"/>
          <w:numId w:val="24"/>
        </w:numPr>
        <w:spacing w:after="0" w:line="240" w:lineRule="auto"/>
        <w:ind w:left="709" w:hanging="720"/>
        <w:jc w:val="both"/>
        <w:rPr>
          <w:rFonts w:ascii="Arial" w:hAnsi="Arial" w:cs="Arial"/>
          <w:iCs/>
          <w:color w:val="000000" w:themeColor="text1"/>
          <w:sz w:val="20"/>
          <w:szCs w:val="20"/>
        </w:rPr>
      </w:pPr>
      <w:r w:rsidRPr="006A0D22">
        <w:rPr>
          <w:rFonts w:ascii="Arial" w:hAnsi="Arial" w:cs="Arial"/>
          <w:iCs/>
          <w:color w:val="000000" w:themeColor="text1"/>
          <w:sz w:val="20"/>
          <w:szCs w:val="20"/>
        </w:rPr>
        <w:t xml:space="preserve">a copy of the written opinion/international preliminary examination report (“WO/ISA, WO/IPEA or IPER”) established by an ASEAN International Searching Authority/International Preliminary Examining Authority (ASEAN ISA/IPEA) (“minimum documents”) relating to a corresponding application from the first IP Office; and </w:t>
      </w:r>
    </w:p>
    <w:p w14:paraId="65CDBA2E" w14:textId="413212BE" w:rsidR="009A3457" w:rsidRPr="006A0D22" w:rsidRDefault="009A3457" w:rsidP="009A3457">
      <w:pPr>
        <w:pStyle w:val="ListParagraph"/>
        <w:numPr>
          <w:ilvl w:val="0"/>
          <w:numId w:val="24"/>
        </w:numPr>
        <w:spacing w:after="0" w:line="240" w:lineRule="auto"/>
        <w:ind w:left="709" w:hanging="720"/>
        <w:jc w:val="both"/>
        <w:rPr>
          <w:rFonts w:ascii="Arial" w:hAnsi="Arial" w:cs="Arial"/>
          <w:iCs/>
          <w:color w:val="000000" w:themeColor="text1"/>
          <w:sz w:val="20"/>
          <w:szCs w:val="20"/>
        </w:rPr>
      </w:pPr>
      <w:r w:rsidRPr="006A0D22">
        <w:rPr>
          <w:rFonts w:ascii="Arial" w:hAnsi="Arial" w:cs="Arial"/>
          <w:iCs/>
          <w:color w:val="000000" w:themeColor="text1"/>
          <w:sz w:val="20"/>
          <w:szCs w:val="20"/>
        </w:rPr>
        <w:t xml:space="preserve">a copy of the claims referred to in the minimum documents submitted, with at least one claim determined by the first IP Office to be allowable/patentable. </w:t>
      </w:r>
    </w:p>
    <w:p w14:paraId="206C6D8D" w14:textId="77777777" w:rsidR="009A3457" w:rsidRPr="006A0D22" w:rsidRDefault="009A3457" w:rsidP="009A3457">
      <w:pPr>
        <w:spacing w:after="0" w:line="240" w:lineRule="auto"/>
        <w:jc w:val="both"/>
        <w:rPr>
          <w:rFonts w:ascii="Arial" w:hAnsi="Arial" w:cs="Arial"/>
          <w:iCs/>
          <w:color w:val="000000" w:themeColor="text1"/>
          <w:sz w:val="20"/>
          <w:szCs w:val="20"/>
        </w:rPr>
      </w:pPr>
    </w:p>
    <w:p w14:paraId="7AB370D8" w14:textId="77777777" w:rsidR="009A3457" w:rsidRPr="006A0D22" w:rsidRDefault="009A3457" w:rsidP="009A3457">
      <w:pPr>
        <w:spacing w:after="0" w:line="240" w:lineRule="auto"/>
        <w:jc w:val="both"/>
        <w:rPr>
          <w:rFonts w:ascii="Arial" w:hAnsi="Arial" w:cs="Arial"/>
          <w:iCs/>
          <w:color w:val="000000" w:themeColor="text1"/>
          <w:sz w:val="20"/>
          <w:szCs w:val="20"/>
        </w:rPr>
      </w:pPr>
      <w:r w:rsidRPr="006A0D22">
        <w:rPr>
          <w:rFonts w:ascii="Arial" w:hAnsi="Arial" w:cs="Arial"/>
          <w:iCs/>
          <w:color w:val="000000" w:themeColor="text1"/>
          <w:sz w:val="20"/>
          <w:szCs w:val="20"/>
        </w:rPr>
        <w:t>The duly completed ASPEC request form must be submitted together with the above documents. If the second ASEAN IP Office does not require the submission of an ASPEC Request Form, a cover letter indicating the request for PCT-ASPEC with the second IP Office should be submitted instead.</w:t>
      </w:r>
    </w:p>
    <w:p w14:paraId="50FCF844" w14:textId="77777777" w:rsidR="009A3457" w:rsidRPr="006A0D22" w:rsidRDefault="009A3457" w:rsidP="009A3457">
      <w:pPr>
        <w:spacing w:after="0" w:line="240" w:lineRule="auto"/>
        <w:jc w:val="both"/>
        <w:rPr>
          <w:rFonts w:ascii="Arial" w:hAnsi="Arial" w:cs="Arial"/>
          <w:iCs/>
          <w:color w:val="000000" w:themeColor="text1"/>
          <w:sz w:val="20"/>
          <w:szCs w:val="20"/>
        </w:rPr>
      </w:pPr>
    </w:p>
    <w:p w14:paraId="13CD34D4" w14:textId="77777777" w:rsidR="009A3457" w:rsidRPr="006A0D22" w:rsidRDefault="009A3457" w:rsidP="009A3457">
      <w:pPr>
        <w:spacing w:after="0" w:line="240" w:lineRule="auto"/>
        <w:jc w:val="both"/>
        <w:rPr>
          <w:rFonts w:ascii="Arial" w:hAnsi="Arial" w:cs="Arial"/>
          <w:iCs/>
          <w:color w:val="000000" w:themeColor="text1"/>
          <w:sz w:val="20"/>
          <w:szCs w:val="20"/>
        </w:rPr>
      </w:pPr>
      <w:r w:rsidRPr="006A0D22">
        <w:rPr>
          <w:rFonts w:ascii="Arial" w:hAnsi="Arial" w:cs="Arial"/>
          <w:iCs/>
          <w:color w:val="000000" w:themeColor="text1"/>
          <w:sz w:val="20"/>
          <w:szCs w:val="20"/>
        </w:rPr>
        <w:t xml:space="preserve">For </w:t>
      </w:r>
      <w:r w:rsidRPr="006A0D22">
        <w:rPr>
          <w:rFonts w:ascii="Arial" w:hAnsi="Arial" w:cs="Arial"/>
          <w:b/>
          <w:iCs/>
          <w:color w:val="000000" w:themeColor="text1"/>
          <w:sz w:val="20"/>
          <w:szCs w:val="20"/>
        </w:rPr>
        <w:t>PCT-ASPEC request,</w:t>
      </w:r>
      <w:r w:rsidRPr="006A0D22">
        <w:rPr>
          <w:rFonts w:ascii="Arial" w:hAnsi="Arial" w:cs="Arial"/>
          <w:iCs/>
          <w:color w:val="000000" w:themeColor="text1"/>
          <w:sz w:val="20"/>
          <w:szCs w:val="20"/>
        </w:rPr>
        <w:t xml:space="preserve"> applicants should indicate that the request is for PCT-ASPEC in the ASPEC form under Remarks. In addition, applicants are required to email the monitoring authority (aspec@ipos.gov.sg) and respective PCT-ASPEC focal point, providing the following information:</w:t>
      </w:r>
    </w:p>
    <w:p w14:paraId="4270609D" w14:textId="77777777" w:rsidR="009A3457" w:rsidRPr="006A0D22" w:rsidRDefault="009A3457" w:rsidP="009A3457">
      <w:pPr>
        <w:spacing w:after="0" w:line="240" w:lineRule="auto"/>
        <w:jc w:val="both"/>
        <w:rPr>
          <w:rFonts w:ascii="Arial" w:hAnsi="Arial" w:cs="Arial"/>
          <w:iCs/>
          <w:color w:val="000000" w:themeColor="text1"/>
          <w:sz w:val="20"/>
          <w:szCs w:val="20"/>
        </w:rPr>
      </w:pPr>
    </w:p>
    <w:p w14:paraId="6C373854" w14:textId="77777777" w:rsidR="009A3457" w:rsidRPr="006A0D22" w:rsidRDefault="009A3457" w:rsidP="009A3457">
      <w:pPr>
        <w:spacing w:after="0" w:line="240" w:lineRule="auto"/>
        <w:jc w:val="both"/>
        <w:rPr>
          <w:rFonts w:ascii="Arial" w:hAnsi="Arial" w:cs="Arial"/>
          <w:iCs/>
          <w:color w:val="000000" w:themeColor="text1"/>
          <w:sz w:val="20"/>
          <w:szCs w:val="20"/>
        </w:rPr>
      </w:pPr>
      <w:r w:rsidRPr="006A0D22">
        <w:rPr>
          <w:rFonts w:ascii="Arial" w:hAnsi="Arial" w:cs="Arial"/>
          <w:iCs/>
          <w:color w:val="000000" w:themeColor="text1"/>
          <w:sz w:val="20"/>
          <w:szCs w:val="20"/>
        </w:rPr>
        <w:t>(</w:t>
      </w:r>
      <w:proofErr w:type="spellStart"/>
      <w:r w:rsidRPr="006A0D22">
        <w:rPr>
          <w:rFonts w:ascii="Arial" w:hAnsi="Arial" w:cs="Arial"/>
          <w:iCs/>
          <w:color w:val="000000" w:themeColor="text1"/>
          <w:sz w:val="20"/>
          <w:szCs w:val="20"/>
        </w:rPr>
        <w:t>i</w:t>
      </w:r>
      <w:proofErr w:type="spellEnd"/>
      <w:r w:rsidRPr="006A0D22">
        <w:rPr>
          <w:rFonts w:ascii="Arial" w:hAnsi="Arial" w:cs="Arial"/>
          <w:iCs/>
          <w:color w:val="000000" w:themeColor="text1"/>
          <w:sz w:val="20"/>
          <w:szCs w:val="20"/>
        </w:rPr>
        <w:t>)</w:t>
      </w:r>
      <w:r w:rsidRPr="006A0D22">
        <w:rPr>
          <w:rFonts w:ascii="Arial" w:hAnsi="Arial" w:cs="Arial"/>
          <w:iCs/>
          <w:color w:val="000000" w:themeColor="text1"/>
          <w:sz w:val="20"/>
          <w:szCs w:val="20"/>
        </w:rPr>
        <w:tab/>
        <w:t>PCT application no;</w:t>
      </w:r>
    </w:p>
    <w:p w14:paraId="1D78F1CB" w14:textId="77777777" w:rsidR="009A3457" w:rsidRPr="006A0D22" w:rsidRDefault="009A3457" w:rsidP="009A3457">
      <w:pPr>
        <w:spacing w:after="0" w:line="240" w:lineRule="auto"/>
        <w:jc w:val="both"/>
        <w:rPr>
          <w:rFonts w:ascii="Arial" w:hAnsi="Arial" w:cs="Arial"/>
          <w:iCs/>
          <w:color w:val="000000" w:themeColor="text1"/>
          <w:sz w:val="20"/>
          <w:szCs w:val="20"/>
        </w:rPr>
      </w:pPr>
      <w:r w:rsidRPr="006A0D22">
        <w:rPr>
          <w:rFonts w:ascii="Arial" w:hAnsi="Arial" w:cs="Arial"/>
          <w:iCs/>
          <w:color w:val="000000" w:themeColor="text1"/>
          <w:sz w:val="20"/>
          <w:szCs w:val="20"/>
        </w:rPr>
        <w:t>(ii)</w:t>
      </w:r>
      <w:r w:rsidRPr="006A0D22">
        <w:rPr>
          <w:rFonts w:ascii="Arial" w:hAnsi="Arial" w:cs="Arial"/>
          <w:iCs/>
          <w:color w:val="000000" w:themeColor="text1"/>
          <w:sz w:val="20"/>
          <w:szCs w:val="20"/>
        </w:rPr>
        <w:tab/>
        <w:t>Desired second IP Office and application no. in the second IP Office;</w:t>
      </w:r>
    </w:p>
    <w:p w14:paraId="43E0B537" w14:textId="77777777" w:rsidR="009A3457" w:rsidRPr="006A0D22" w:rsidRDefault="009A3457" w:rsidP="009A3457">
      <w:pPr>
        <w:spacing w:after="0" w:line="240" w:lineRule="auto"/>
        <w:jc w:val="both"/>
        <w:rPr>
          <w:rFonts w:ascii="Arial" w:hAnsi="Arial" w:cs="Arial"/>
          <w:iCs/>
          <w:color w:val="000000" w:themeColor="text1"/>
          <w:sz w:val="20"/>
          <w:szCs w:val="20"/>
        </w:rPr>
      </w:pPr>
      <w:r w:rsidRPr="006A0D22">
        <w:rPr>
          <w:rFonts w:ascii="Arial" w:hAnsi="Arial" w:cs="Arial"/>
          <w:iCs/>
          <w:color w:val="000000" w:themeColor="text1"/>
          <w:sz w:val="20"/>
          <w:szCs w:val="20"/>
        </w:rPr>
        <w:t>(iii)</w:t>
      </w:r>
      <w:r w:rsidRPr="006A0D22">
        <w:rPr>
          <w:rFonts w:ascii="Arial" w:hAnsi="Arial" w:cs="Arial"/>
          <w:iCs/>
          <w:color w:val="000000" w:themeColor="text1"/>
          <w:sz w:val="20"/>
          <w:szCs w:val="20"/>
        </w:rPr>
        <w:tab/>
        <w:t xml:space="preserve">Date of request; and </w:t>
      </w:r>
    </w:p>
    <w:p w14:paraId="1E94C8DD" w14:textId="77777777" w:rsidR="009A3457" w:rsidRPr="006A0D22" w:rsidRDefault="009A3457" w:rsidP="009A3457">
      <w:pPr>
        <w:spacing w:after="0" w:line="240" w:lineRule="auto"/>
        <w:jc w:val="both"/>
        <w:rPr>
          <w:rFonts w:ascii="Arial" w:hAnsi="Arial" w:cs="Arial"/>
          <w:iCs/>
          <w:color w:val="000000" w:themeColor="text1"/>
          <w:sz w:val="20"/>
          <w:szCs w:val="20"/>
        </w:rPr>
      </w:pPr>
      <w:r w:rsidRPr="006A0D22">
        <w:rPr>
          <w:rFonts w:ascii="Arial" w:hAnsi="Arial" w:cs="Arial"/>
          <w:iCs/>
          <w:color w:val="000000" w:themeColor="text1"/>
          <w:sz w:val="20"/>
          <w:szCs w:val="20"/>
        </w:rPr>
        <w:t>(iv)</w:t>
      </w:r>
      <w:r w:rsidRPr="006A0D22">
        <w:rPr>
          <w:rFonts w:ascii="Arial" w:hAnsi="Arial" w:cs="Arial"/>
          <w:iCs/>
          <w:color w:val="000000" w:themeColor="text1"/>
          <w:sz w:val="20"/>
          <w:szCs w:val="20"/>
        </w:rPr>
        <w:tab/>
        <w:t xml:space="preserve">Applicant. </w:t>
      </w:r>
    </w:p>
    <w:p w14:paraId="4CEA7D82" w14:textId="77777777" w:rsidR="009A3457" w:rsidRPr="006A0D22" w:rsidRDefault="009A3457" w:rsidP="009A3457">
      <w:pPr>
        <w:spacing w:after="0" w:line="240" w:lineRule="auto"/>
        <w:jc w:val="both"/>
        <w:rPr>
          <w:rFonts w:ascii="Arial" w:hAnsi="Arial" w:cs="Arial"/>
          <w:iCs/>
          <w:color w:val="000000" w:themeColor="text1"/>
          <w:sz w:val="20"/>
          <w:szCs w:val="20"/>
        </w:rPr>
      </w:pPr>
    </w:p>
    <w:p w14:paraId="5ADDB90B" w14:textId="77777777" w:rsidR="009A3457" w:rsidRPr="006A0D22" w:rsidRDefault="009A3457" w:rsidP="009A3457">
      <w:pPr>
        <w:spacing w:after="0" w:line="240" w:lineRule="auto"/>
        <w:jc w:val="both"/>
        <w:rPr>
          <w:rFonts w:ascii="Arial" w:hAnsi="Arial" w:cs="Arial"/>
          <w:iCs/>
          <w:color w:val="000000" w:themeColor="text1"/>
          <w:sz w:val="20"/>
          <w:szCs w:val="20"/>
        </w:rPr>
      </w:pPr>
      <w:r w:rsidRPr="006A0D22">
        <w:rPr>
          <w:rFonts w:ascii="Arial" w:hAnsi="Arial" w:cs="Arial"/>
          <w:iCs/>
          <w:color w:val="000000" w:themeColor="text1"/>
          <w:sz w:val="20"/>
          <w:szCs w:val="20"/>
        </w:rPr>
        <w:t xml:space="preserve">It is possible to make a PCT-ASPEC request at the second IP Office even if the second IP Office is also an ASEAN ISA/IPEA. </w:t>
      </w:r>
    </w:p>
    <w:p w14:paraId="0710CC84" w14:textId="77777777" w:rsidR="009A3457" w:rsidRPr="006A0D22" w:rsidRDefault="009A3457" w:rsidP="009A3457">
      <w:pPr>
        <w:spacing w:after="0" w:line="240" w:lineRule="auto"/>
        <w:jc w:val="both"/>
        <w:rPr>
          <w:rFonts w:ascii="Arial" w:hAnsi="Arial" w:cs="Arial"/>
          <w:iCs/>
          <w:color w:val="000000" w:themeColor="text1"/>
          <w:sz w:val="20"/>
          <w:szCs w:val="20"/>
        </w:rPr>
      </w:pPr>
    </w:p>
    <w:p w14:paraId="2A829E8C" w14:textId="77777777" w:rsidR="009A3457" w:rsidRPr="006A0D22" w:rsidRDefault="009A3457" w:rsidP="009A3457">
      <w:pPr>
        <w:spacing w:after="0" w:line="240" w:lineRule="auto"/>
        <w:jc w:val="both"/>
        <w:rPr>
          <w:rFonts w:ascii="Arial" w:hAnsi="Arial" w:cs="Arial"/>
          <w:iCs/>
          <w:color w:val="000000" w:themeColor="text1"/>
          <w:sz w:val="20"/>
          <w:szCs w:val="20"/>
        </w:rPr>
      </w:pPr>
      <w:r w:rsidRPr="006A0D22">
        <w:rPr>
          <w:rFonts w:ascii="Arial" w:hAnsi="Arial" w:cs="Arial"/>
          <w:iCs/>
          <w:color w:val="000000" w:themeColor="text1"/>
          <w:sz w:val="20"/>
          <w:szCs w:val="20"/>
        </w:rPr>
        <w:t>It is also possible to make a PCT-ASPEC request and an ASPEC AIM request simultaneously at the second IP Office. There can be a written opinion/international preliminary examination report established by an ASEAN ISA/IPEA and the patent application contains at least one IPC code that matches with the IPC codes provided in Appendix 1. Please indicate that this is a PCT-ASPEC and ASPEC AIM request in the ASPEC form.</w:t>
      </w:r>
    </w:p>
    <w:p w14:paraId="70093C58" w14:textId="77777777" w:rsidR="009A3457" w:rsidRPr="006A0D22" w:rsidRDefault="009A3457" w:rsidP="009A3457">
      <w:pPr>
        <w:spacing w:after="0" w:line="240" w:lineRule="auto"/>
        <w:jc w:val="both"/>
        <w:rPr>
          <w:rFonts w:ascii="Arial" w:hAnsi="Arial" w:cs="Arial"/>
          <w:iCs/>
          <w:color w:val="000000" w:themeColor="text1"/>
          <w:sz w:val="20"/>
          <w:szCs w:val="20"/>
        </w:rPr>
      </w:pPr>
    </w:p>
    <w:p w14:paraId="2D5CF3DB" w14:textId="77777777" w:rsidR="009A3457" w:rsidRPr="006A0D22" w:rsidRDefault="009A3457" w:rsidP="009A3457">
      <w:pPr>
        <w:spacing w:after="0" w:line="240" w:lineRule="auto"/>
        <w:jc w:val="both"/>
        <w:rPr>
          <w:rFonts w:ascii="Arial" w:hAnsi="Arial" w:cs="Arial"/>
          <w:b/>
          <w:iCs/>
          <w:color w:val="0000FF"/>
          <w:sz w:val="20"/>
          <w:szCs w:val="20"/>
        </w:rPr>
      </w:pPr>
      <w:r w:rsidRPr="006A0D22">
        <w:rPr>
          <w:rFonts w:ascii="Arial" w:hAnsi="Arial" w:cs="Arial"/>
          <w:b/>
          <w:iCs/>
          <w:color w:val="0000FF"/>
          <w:sz w:val="20"/>
          <w:szCs w:val="20"/>
        </w:rPr>
        <w:t>7. What are some key takeaways for ASPEC?</w:t>
      </w:r>
    </w:p>
    <w:p w14:paraId="6203E402" w14:textId="77777777" w:rsidR="009A3457" w:rsidRPr="006A0D22" w:rsidRDefault="009A3457" w:rsidP="009A3457">
      <w:pPr>
        <w:spacing w:after="0" w:line="240" w:lineRule="auto"/>
        <w:jc w:val="both"/>
        <w:rPr>
          <w:rFonts w:ascii="Arial" w:hAnsi="Arial" w:cs="Arial"/>
          <w:iCs/>
          <w:color w:val="000000" w:themeColor="text1"/>
          <w:sz w:val="20"/>
          <w:szCs w:val="20"/>
        </w:rPr>
      </w:pPr>
    </w:p>
    <w:p w14:paraId="4A4F1D8F" w14:textId="77777777" w:rsidR="009A3457" w:rsidRPr="006A0D22" w:rsidRDefault="009A3457" w:rsidP="009A3457">
      <w:pPr>
        <w:spacing w:after="0" w:line="240" w:lineRule="auto"/>
        <w:jc w:val="both"/>
        <w:rPr>
          <w:rFonts w:ascii="Arial" w:hAnsi="Arial" w:cs="Arial"/>
          <w:iCs/>
          <w:color w:val="000000" w:themeColor="text1"/>
          <w:sz w:val="20"/>
          <w:szCs w:val="20"/>
        </w:rPr>
      </w:pPr>
      <w:r w:rsidRPr="006A0D22">
        <w:rPr>
          <w:rFonts w:ascii="Arial" w:hAnsi="Arial" w:cs="Arial"/>
          <w:iCs/>
          <w:color w:val="000000" w:themeColor="text1"/>
          <w:sz w:val="20"/>
          <w:szCs w:val="20"/>
        </w:rPr>
        <w:t xml:space="preserve">KENFOX provides below some key takeaways for ASPEC </w:t>
      </w:r>
      <w:proofErr w:type="spellStart"/>
      <w:r w:rsidRPr="006A0D22">
        <w:rPr>
          <w:rFonts w:ascii="Arial" w:hAnsi="Arial" w:cs="Arial"/>
          <w:iCs/>
          <w:color w:val="000000" w:themeColor="text1"/>
          <w:sz w:val="20"/>
          <w:szCs w:val="20"/>
        </w:rPr>
        <w:t>programme</w:t>
      </w:r>
      <w:proofErr w:type="spellEnd"/>
      <w:r w:rsidRPr="006A0D22">
        <w:rPr>
          <w:rFonts w:ascii="Arial" w:hAnsi="Arial" w:cs="Arial"/>
          <w:iCs/>
          <w:color w:val="000000" w:themeColor="text1"/>
          <w:sz w:val="20"/>
          <w:szCs w:val="20"/>
        </w:rPr>
        <w:t>.</w:t>
      </w:r>
    </w:p>
    <w:p w14:paraId="582DC1F4" w14:textId="77777777" w:rsidR="009A3457" w:rsidRPr="006A0D22" w:rsidRDefault="009A3457" w:rsidP="009A3457">
      <w:pPr>
        <w:spacing w:after="0" w:line="240" w:lineRule="auto"/>
        <w:jc w:val="both"/>
        <w:rPr>
          <w:rFonts w:ascii="Arial" w:hAnsi="Arial" w:cs="Arial"/>
          <w:iCs/>
          <w:color w:val="000000" w:themeColor="text1"/>
          <w:sz w:val="20"/>
          <w:szCs w:val="20"/>
        </w:rPr>
      </w:pPr>
    </w:p>
    <w:p w14:paraId="6E7680A9" w14:textId="234F3EEB" w:rsidR="009A3457" w:rsidRPr="006A0D22" w:rsidRDefault="009A3457" w:rsidP="009A3457">
      <w:pPr>
        <w:pStyle w:val="ListParagraph"/>
        <w:numPr>
          <w:ilvl w:val="0"/>
          <w:numId w:val="26"/>
        </w:numPr>
        <w:spacing w:after="0" w:line="240" w:lineRule="auto"/>
        <w:ind w:left="567" w:hanging="567"/>
        <w:jc w:val="both"/>
        <w:rPr>
          <w:rFonts w:ascii="Arial" w:hAnsi="Arial" w:cs="Arial"/>
          <w:iCs/>
          <w:color w:val="000000" w:themeColor="text1"/>
          <w:sz w:val="20"/>
          <w:szCs w:val="20"/>
        </w:rPr>
      </w:pPr>
      <w:r w:rsidRPr="006A0D22">
        <w:rPr>
          <w:rFonts w:ascii="Arial" w:hAnsi="Arial" w:cs="Arial"/>
          <w:iCs/>
          <w:color w:val="000000" w:themeColor="text1"/>
          <w:sz w:val="20"/>
          <w:szCs w:val="20"/>
        </w:rPr>
        <w:t>All documents for the purposes of ASPEC must be in English. An English translation of documents submitted need not be verified by a translator or by the patent agent unless requested for by the AMS IP Office.</w:t>
      </w:r>
    </w:p>
    <w:p w14:paraId="5332B720" w14:textId="77777777" w:rsidR="009A3457" w:rsidRPr="006A0D22" w:rsidRDefault="009A3457" w:rsidP="009A3457">
      <w:pPr>
        <w:spacing w:after="0" w:line="240" w:lineRule="auto"/>
        <w:ind w:left="567" w:hanging="567"/>
        <w:jc w:val="both"/>
        <w:rPr>
          <w:rFonts w:ascii="Arial" w:hAnsi="Arial" w:cs="Arial"/>
          <w:iCs/>
          <w:color w:val="000000" w:themeColor="text1"/>
          <w:sz w:val="20"/>
          <w:szCs w:val="20"/>
        </w:rPr>
      </w:pPr>
    </w:p>
    <w:p w14:paraId="5BA81779" w14:textId="171AC64E" w:rsidR="009A3457" w:rsidRPr="006A0D22" w:rsidRDefault="009A3457" w:rsidP="009A3457">
      <w:pPr>
        <w:pStyle w:val="ListParagraph"/>
        <w:numPr>
          <w:ilvl w:val="0"/>
          <w:numId w:val="26"/>
        </w:numPr>
        <w:spacing w:after="0" w:line="240" w:lineRule="auto"/>
        <w:ind w:left="567" w:hanging="567"/>
        <w:jc w:val="both"/>
        <w:rPr>
          <w:rFonts w:ascii="Arial" w:hAnsi="Arial" w:cs="Arial"/>
          <w:iCs/>
          <w:color w:val="000000" w:themeColor="text1"/>
          <w:sz w:val="20"/>
          <w:szCs w:val="20"/>
        </w:rPr>
      </w:pPr>
      <w:r w:rsidRPr="006A0D22">
        <w:rPr>
          <w:rFonts w:ascii="Arial" w:hAnsi="Arial" w:cs="Arial"/>
          <w:iCs/>
          <w:color w:val="000000" w:themeColor="text1"/>
          <w:sz w:val="20"/>
          <w:szCs w:val="20"/>
        </w:rPr>
        <w:t>ASPEC is only available for patent applications that have been filed in the first IP Office of an ASEAN Member State and have a corresponding application in the second IP Office of another ASEAN Member State.</w:t>
      </w:r>
    </w:p>
    <w:p w14:paraId="5A99566C" w14:textId="77777777" w:rsidR="009A3457" w:rsidRPr="006A0D22" w:rsidRDefault="009A3457" w:rsidP="009A3457">
      <w:pPr>
        <w:spacing w:after="0" w:line="240" w:lineRule="auto"/>
        <w:ind w:left="567" w:hanging="567"/>
        <w:jc w:val="both"/>
        <w:rPr>
          <w:rFonts w:ascii="Arial" w:hAnsi="Arial" w:cs="Arial"/>
          <w:iCs/>
          <w:color w:val="000000" w:themeColor="text1"/>
          <w:sz w:val="20"/>
          <w:szCs w:val="20"/>
        </w:rPr>
      </w:pPr>
    </w:p>
    <w:p w14:paraId="4795426D" w14:textId="354EFA54" w:rsidR="009A3457" w:rsidRPr="006A0D22" w:rsidRDefault="009A3457" w:rsidP="009A3457">
      <w:pPr>
        <w:pStyle w:val="ListParagraph"/>
        <w:numPr>
          <w:ilvl w:val="0"/>
          <w:numId w:val="26"/>
        </w:numPr>
        <w:spacing w:after="0" w:line="240" w:lineRule="auto"/>
        <w:ind w:left="567" w:hanging="567"/>
        <w:jc w:val="both"/>
        <w:rPr>
          <w:rFonts w:ascii="Arial" w:hAnsi="Arial" w:cs="Arial"/>
          <w:iCs/>
          <w:color w:val="000000" w:themeColor="text1"/>
          <w:sz w:val="20"/>
          <w:szCs w:val="20"/>
        </w:rPr>
      </w:pPr>
      <w:r w:rsidRPr="006A0D22">
        <w:rPr>
          <w:rFonts w:ascii="Arial" w:hAnsi="Arial" w:cs="Arial"/>
          <w:iCs/>
          <w:color w:val="000000" w:themeColor="text1"/>
          <w:sz w:val="20"/>
          <w:szCs w:val="20"/>
        </w:rPr>
        <w:t>The purpose of ASPEC is to accelerate the examination of the corresponding application in the second IP Office by relying on the S&amp;E results from the first IP Office.</w:t>
      </w:r>
    </w:p>
    <w:p w14:paraId="44223D98" w14:textId="77777777" w:rsidR="009A3457" w:rsidRPr="006A0D22" w:rsidRDefault="009A3457" w:rsidP="009A3457">
      <w:pPr>
        <w:spacing w:after="0" w:line="240" w:lineRule="auto"/>
        <w:ind w:left="567" w:hanging="567"/>
        <w:jc w:val="both"/>
        <w:rPr>
          <w:rFonts w:ascii="Arial" w:hAnsi="Arial" w:cs="Arial"/>
          <w:iCs/>
          <w:color w:val="000000" w:themeColor="text1"/>
          <w:sz w:val="20"/>
          <w:szCs w:val="20"/>
        </w:rPr>
      </w:pPr>
    </w:p>
    <w:p w14:paraId="70A1BC91" w14:textId="6844BD79" w:rsidR="009A3457" w:rsidRPr="006A0D22" w:rsidRDefault="009A3457" w:rsidP="009A3457">
      <w:pPr>
        <w:pStyle w:val="ListParagraph"/>
        <w:numPr>
          <w:ilvl w:val="0"/>
          <w:numId w:val="26"/>
        </w:numPr>
        <w:spacing w:after="0" w:line="240" w:lineRule="auto"/>
        <w:ind w:left="567" w:hanging="567"/>
        <w:jc w:val="both"/>
        <w:rPr>
          <w:rFonts w:ascii="Arial" w:hAnsi="Arial" w:cs="Arial"/>
          <w:iCs/>
          <w:color w:val="000000" w:themeColor="text1"/>
          <w:sz w:val="20"/>
          <w:szCs w:val="20"/>
        </w:rPr>
      </w:pPr>
      <w:r w:rsidRPr="006A0D22">
        <w:rPr>
          <w:rFonts w:ascii="Arial" w:hAnsi="Arial" w:cs="Arial"/>
          <w:iCs/>
          <w:color w:val="000000" w:themeColor="text1"/>
          <w:sz w:val="20"/>
          <w:szCs w:val="20"/>
        </w:rPr>
        <w:t>ASPEC is not a guarantee of patentability, and the second IP Office may still reject the application based on its own examination.</w:t>
      </w:r>
    </w:p>
    <w:p w14:paraId="07CC0A67" w14:textId="77777777" w:rsidR="009A3457" w:rsidRPr="006A0D22" w:rsidRDefault="009A3457" w:rsidP="009A3457">
      <w:pPr>
        <w:spacing w:after="0" w:line="240" w:lineRule="auto"/>
        <w:ind w:left="567" w:hanging="567"/>
        <w:jc w:val="both"/>
        <w:rPr>
          <w:rFonts w:ascii="Arial" w:hAnsi="Arial" w:cs="Arial"/>
          <w:iCs/>
          <w:color w:val="000000" w:themeColor="text1"/>
          <w:sz w:val="20"/>
          <w:szCs w:val="20"/>
        </w:rPr>
      </w:pPr>
    </w:p>
    <w:p w14:paraId="39B7D17B" w14:textId="3088E843" w:rsidR="009A3457" w:rsidRPr="006A0D22" w:rsidRDefault="009A3457" w:rsidP="009A3457">
      <w:pPr>
        <w:pStyle w:val="ListParagraph"/>
        <w:numPr>
          <w:ilvl w:val="0"/>
          <w:numId w:val="26"/>
        </w:numPr>
        <w:spacing w:after="0" w:line="240" w:lineRule="auto"/>
        <w:ind w:left="567" w:hanging="567"/>
        <w:jc w:val="both"/>
        <w:rPr>
          <w:rFonts w:ascii="Arial" w:hAnsi="Arial" w:cs="Arial"/>
          <w:iCs/>
          <w:color w:val="000000" w:themeColor="text1"/>
          <w:sz w:val="20"/>
          <w:szCs w:val="20"/>
        </w:rPr>
      </w:pPr>
      <w:r w:rsidRPr="006A0D22">
        <w:rPr>
          <w:rFonts w:ascii="Arial" w:hAnsi="Arial" w:cs="Arial"/>
          <w:iCs/>
          <w:color w:val="000000" w:themeColor="text1"/>
          <w:sz w:val="20"/>
          <w:szCs w:val="20"/>
        </w:rPr>
        <w:t>Applicants should ensure that the claims in the corresponding application in the second IP Office sufficiently correspond to the claims in the first IP Office, and that at least one claim has been determined to be allowable/patentable in the first IP Office. Of note,  a claim is considered to "sufficiently correspond" where, accounting for differences due to translations and claim format, the claim in the application to be requested ASPEC is of the same or similar scope as a claim indicated as allowable/patentable in the corresponding application in the first IP Office.</w:t>
      </w:r>
    </w:p>
    <w:p w14:paraId="5BEC4123" w14:textId="77777777" w:rsidR="009A3457" w:rsidRPr="006A0D22" w:rsidRDefault="009A3457" w:rsidP="009A3457">
      <w:pPr>
        <w:spacing w:after="0" w:line="240" w:lineRule="auto"/>
        <w:ind w:left="567" w:hanging="567"/>
        <w:jc w:val="both"/>
        <w:rPr>
          <w:rFonts w:ascii="Arial" w:hAnsi="Arial" w:cs="Arial"/>
          <w:iCs/>
          <w:color w:val="000000" w:themeColor="text1"/>
          <w:sz w:val="20"/>
          <w:szCs w:val="20"/>
        </w:rPr>
      </w:pPr>
    </w:p>
    <w:p w14:paraId="118BB34F" w14:textId="1F926BEB" w:rsidR="009A3457" w:rsidRPr="006A0D22" w:rsidRDefault="009A3457" w:rsidP="006A0D22">
      <w:pPr>
        <w:pStyle w:val="ListParagraph"/>
        <w:numPr>
          <w:ilvl w:val="0"/>
          <w:numId w:val="26"/>
        </w:numPr>
        <w:spacing w:after="0" w:line="240" w:lineRule="auto"/>
        <w:ind w:left="567" w:hanging="567"/>
        <w:jc w:val="both"/>
        <w:rPr>
          <w:rFonts w:ascii="Arial" w:hAnsi="Arial" w:cs="Arial"/>
          <w:iCs/>
          <w:color w:val="000000" w:themeColor="text1"/>
          <w:sz w:val="20"/>
          <w:szCs w:val="20"/>
        </w:rPr>
      </w:pPr>
      <w:r w:rsidRPr="006A0D22">
        <w:rPr>
          <w:rFonts w:ascii="Arial" w:hAnsi="Arial" w:cs="Arial"/>
          <w:iCs/>
          <w:color w:val="000000" w:themeColor="text1"/>
          <w:sz w:val="20"/>
          <w:szCs w:val="20"/>
        </w:rPr>
        <w:t>ASPEC can be requested for both published and unpublished applications.</w:t>
      </w:r>
    </w:p>
    <w:p w14:paraId="376A9E23" w14:textId="77777777" w:rsidR="009A3457" w:rsidRPr="006A0D22" w:rsidRDefault="009A3457" w:rsidP="009A3457">
      <w:pPr>
        <w:spacing w:after="0" w:line="240" w:lineRule="auto"/>
        <w:ind w:left="567" w:hanging="567"/>
        <w:jc w:val="both"/>
        <w:rPr>
          <w:rFonts w:ascii="Arial" w:hAnsi="Arial" w:cs="Arial"/>
          <w:iCs/>
          <w:color w:val="000000" w:themeColor="text1"/>
          <w:sz w:val="20"/>
          <w:szCs w:val="20"/>
        </w:rPr>
      </w:pPr>
    </w:p>
    <w:p w14:paraId="104186A6" w14:textId="53D2B2A3" w:rsidR="009A3457" w:rsidRPr="006A0D22" w:rsidRDefault="009A3457" w:rsidP="009A3457">
      <w:pPr>
        <w:pStyle w:val="ListParagraph"/>
        <w:numPr>
          <w:ilvl w:val="0"/>
          <w:numId w:val="26"/>
        </w:numPr>
        <w:spacing w:after="0" w:line="240" w:lineRule="auto"/>
        <w:ind w:left="567" w:hanging="567"/>
        <w:jc w:val="both"/>
        <w:rPr>
          <w:rFonts w:ascii="Arial" w:hAnsi="Arial" w:cs="Arial"/>
          <w:iCs/>
          <w:color w:val="000000" w:themeColor="text1"/>
          <w:sz w:val="20"/>
          <w:szCs w:val="20"/>
        </w:rPr>
      </w:pPr>
      <w:r w:rsidRPr="006A0D22">
        <w:rPr>
          <w:rFonts w:ascii="Arial" w:hAnsi="Arial" w:cs="Arial"/>
          <w:iCs/>
          <w:color w:val="000000" w:themeColor="text1"/>
          <w:sz w:val="20"/>
          <w:szCs w:val="20"/>
        </w:rPr>
        <w:t>The submission of S&amp;E results from an AMS IP Office for an unpublished application constitutes a waiver of confidentiality.</w:t>
      </w:r>
    </w:p>
    <w:p w14:paraId="3CD7514B" w14:textId="77777777" w:rsidR="009A3457" w:rsidRPr="006A0D22" w:rsidRDefault="009A3457" w:rsidP="009A3457">
      <w:pPr>
        <w:spacing w:after="0" w:line="240" w:lineRule="auto"/>
        <w:ind w:left="567" w:hanging="567"/>
        <w:jc w:val="both"/>
        <w:rPr>
          <w:rFonts w:ascii="Arial" w:hAnsi="Arial" w:cs="Arial"/>
          <w:iCs/>
          <w:color w:val="000000" w:themeColor="text1"/>
          <w:sz w:val="20"/>
          <w:szCs w:val="20"/>
        </w:rPr>
      </w:pPr>
    </w:p>
    <w:p w14:paraId="2B566C8F" w14:textId="5D6ED377" w:rsidR="009A3457" w:rsidRPr="006A0D22" w:rsidRDefault="006A0D22" w:rsidP="009A3457">
      <w:pPr>
        <w:pStyle w:val="ListParagraph"/>
        <w:numPr>
          <w:ilvl w:val="0"/>
          <w:numId w:val="26"/>
        </w:numPr>
        <w:spacing w:after="0" w:line="240" w:lineRule="auto"/>
        <w:ind w:left="567" w:hanging="567"/>
        <w:jc w:val="both"/>
        <w:rPr>
          <w:rFonts w:ascii="Arial" w:hAnsi="Arial" w:cs="Arial"/>
          <w:iCs/>
          <w:color w:val="000000" w:themeColor="text1"/>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75648" behindDoc="0" locked="0" layoutInCell="1" allowOverlap="1" wp14:anchorId="319FB092" wp14:editId="49B9CCD4">
                <wp:simplePos x="0" y="0"/>
                <wp:positionH relativeFrom="column">
                  <wp:posOffset>6381750</wp:posOffset>
                </wp:positionH>
                <wp:positionV relativeFrom="paragraph">
                  <wp:posOffset>-346710</wp:posOffset>
                </wp:positionV>
                <wp:extent cx="346710" cy="10325735"/>
                <wp:effectExtent l="0" t="0" r="15240" b="18415"/>
                <wp:wrapNone/>
                <wp:docPr id="5" name="Rectangle 5"/>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1C62D3" w14:textId="77777777" w:rsidR="009A3457" w:rsidRPr="00BA68B8" w:rsidRDefault="009A3457" w:rsidP="009A3457">
                            <w:pPr>
                              <w:spacing w:after="0" w:line="240" w:lineRule="auto"/>
                              <w:rPr>
                                <w:rFonts w:ascii="Arial" w:hAnsi="Arial" w:cs="Arial"/>
                                <w:b/>
                                <w:color w:val="FFFFFF" w:themeColor="background1"/>
                                <w:sz w:val="20"/>
                                <w:szCs w:val="20"/>
                              </w:rPr>
                            </w:pPr>
                            <w:r w:rsidRPr="009A3457">
                              <w:rPr>
                                <w:rFonts w:ascii="Arial" w:hAnsi="Arial" w:cs="Arial"/>
                                <w:b/>
                                <w:bCs/>
                                <w:color w:val="FFFFFF" w:themeColor="background1"/>
                                <w:sz w:val="20"/>
                                <w:szCs w:val="20"/>
                              </w:rPr>
                              <w:t>Patent granting in Vietnam and other ASEAN countries</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9FB092" id="Rectangle 5" o:spid="_x0000_s1030" style="position:absolute;left:0;text-align:left;margin-left:502.5pt;margin-top:-27.3pt;width:27.3pt;height:813.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" fillcolor="#00b39c" strokecolor="#00b39c" strokeweight="0">
                <v:textbox style="layout-flow:vertical">
                  <w:txbxContent>
                    <w:p w14:paraId="691C62D3" w14:textId="77777777" w:rsidR="009A3457" w:rsidRPr="00BA68B8" w:rsidRDefault="009A3457" w:rsidP="009A3457">
                      <w:pPr>
                        <w:spacing w:after="0" w:line="240" w:lineRule="auto"/>
                        <w:rPr>
                          <w:rFonts w:ascii="Arial" w:hAnsi="Arial" w:cs="Arial"/>
                          <w:b/>
                          <w:color w:val="FFFFFF" w:themeColor="background1"/>
                          <w:sz w:val="20"/>
                          <w:szCs w:val="20"/>
                        </w:rPr>
                      </w:pPr>
                      <w:r w:rsidRPr="009A3457">
                        <w:rPr>
                          <w:rFonts w:ascii="Arial" w:hAnsi="Arial" w:cs="Arial"/>
                          <w:b/>
                          <w:bCs/>
                          <w:color w:val="FFFFFF" w:themeColor="background1"/>
                          <w:sz w:val="20"/>
                          <w:szCs w:val="20"/>
                        </w:rPr>
                        <w:t>Patent granting in Vietnam and other ASEAN countries</w:t>
                      </w:r>
                    </w:p>
                  </w:txbxContent>
                </v:textbox>
              </v:rect>
            </w:pict>
          </mc:Fallback>
        </mc:AlternateContent>
      </w:r>
      <w:r w:rsidR="009A3457" w:rsidRPr="006A0D22">
        <w:rPr>
          <w:rFonts w:ascii="Arial" w:hAnsi="Arial" w:cs="Arial"/>
          <w:iCs/>
          <w:color w:val="000000" w:themeColor="text1"/>
          <w:sz w:val="20"/>
          <w:szCs w:val="20"/>
        </w:rPr>
        <w:t xml:space="preserve">For PCT-ASPEC requests, applicants should submit a copy of the written opinion/international preliminary examination report established by an ASEAN ISA/IPEA and a copy of the claims referred to </w:t>
      </w:r>
      <w:r w:rsidR="009A3457" w:rsidRPr="009A3457">
        <w:rPr>
          <w:rFonts w:ascii="Arial" w:hAnsi="Arial" w:cs="Arial"/>
          <w:iCs/>
          <w:sz w:val="20"/>
          <w:szCs w:val="20"/>
        </w:rPr>
        <w:t xml:space="preserve">in </w:t>
      </w:r>
      <w:r w:rsidR="009A3457" w:rsidRPr="006A0D22">
        <w:rPr>
          <w:rFonts w:ascii="Arial" w:hAnsi="Arial" w:cs="Arial"/>
          <w:iCs/>
          <w:color w:val="000000" w:themeColor="text1"/>
          <w:sz w:val="20"/>
          <w:szCs w:val="20"/>
        </w:rPr>
        <w:t>the minimum documents submitted, with at least one claim determined by the first IP Office to be allowable/patentable.</w:t>
      </w:r>
    </w:p>
    <w:p w14:paraId="2D8F7A46" w14:textId="7BA3AA35" w:rsidR="009A3457" w:rsidRPr="006A0D22" w:rsidRDefault="009A3457" w:rsidP="009A3457">
      <w:pPr>
        <w:spacing w:after="0" w:line="240" w:lineRule="auto"/>
        <w:ind w:left="567" w:hanging="567"/>
        <w:jc w:val="both"/>
        <w:rPr>
          <w:rFonts w:ascii="Arial" w:hAnsi="Arial" w:cs="Arial"/>
          <w:iCs/>
          <w:color w:val="000000" w:themeColor="text1"/>
          <w:sz w:val="20"/>
          <w:szCs w:val="20"/>
        </w:rPr>
      </w:pPr>
    </w:p>
    <w:p w14:paraId="74529E7A" w14:textId="7324C555" w:rsidR="009A3457" w:rsidRPr="006A0D22" w:rsidRDefault="009A3457" w:rsidP="009A3457">
      <w:pPr>
        <w:pStyle w:val="ListParagraph"/>
        <w:numPr>
          <w:ilvl w:val="0"/>
          <w:numId w:val="26"/>
        </w:numPr>
        <w:spacing w:after="0" w:line="240" w:lineRule="auto"/>
        <w:ind w:left="567" w:hanging="567"/>
        <w:jc w:val="both"/>
        <w:rPr>
          <w:rFonts w:ascii="Arial" w:hAnsi="Arial" w:cs="Arial"/>
          <w:iCs/>
          <w:color w:val="000000" w:themeColor="text1"/>
          <w:sz w:val="20"/>
          <w:szCs w:val="20"/>
        </w:rPr>
      </w:pPr>
      <w:r w:rsidRPr="006A0D22">
        <w:rPr>
          <w:rFonts w:ascii="Arial" w:hAnsi="Arial" w:cs="Arial"/>
          <w:iCs/>
          <w:color w:val="000000" w:themeColor="text1"/>
          <w:sz w:val="20"/>
          <w:szCs w:val="20"/>
        </w:rPr>
        <w:t>ASPEC can be requested at any time before the final decision of grant or refusal in the second IP Office.</w:t>
      </w:r>
    </w:p>
    <w:p w14:paraId="2096A05D" w14:textId="77777777" w:rsidR="009A3457" w:rsidRPr="006A0D22" w:rsidRDefault="009A3457" w:rsidP="009A3457">
      <w:pPr>
        <w:spacing w:after="0" w:line="240" w:lineRule="auto"/>
        <w:ind w:left="567" w:hanging="567"/>
        <w:jc w:val="both"/>
        <w:rPr>
          <w:rFonts w:ascii="Arial" w:hAnsi="Arial" w:cs="Arial"/>
          <w:iCs/>
          <w:color w:val="000000" w:themeColor="text1"/>
          <w:sz w:val="20"/>
          <w:szCs w:val="20"/>
        </w:rPr>
      </w:pPr>
    </w:p>
    <w:p w14:paraId="4D92D4F2" w14:textId="082C01FD" w:rsidR="009A3457" w:rsidRPr="006A0D22" w:rsidRDefault="009A3457" w:rsidP="009A3457">
      <w:pPr>
        <w:pStyle w:val="ListParagraph"/>
        <w:numPr>
          <w:ilvl w:val="0"/>
          <w:numId w:val="26"/>
        </w:numPr>
        <w:spacing w:after="0" w:line="240" w:lineRule="auto"/>
        <w:ind w:left="567" w:hanging="567"/>
        <w:jc w:val="both"/>
        <w:rPr>
          <w:rFonts w:ascii="Arial" w:hAnsi="Arial" w:cs="Arial"/>
          <w:iCs/>
          <w:color w:val="000000" w:themeColor="text1"/>
          <w:sz w:val="20"/>
          <w:szCs w:val="20"/>
        </w:rPr>
      </w:pPr>
      <w:r w:rsidRPr="006A0D22">
        <w:rPr>
          <w:rFonts w:ascii="Arial" w:hAnsi="Arial" w:cs="Arial"/>
          <w:iCs/>
          <w:color w:val="000000" w:themeColor="text1"/>
          <w:sz w:val="20"/>
          <w:szCs w:val="20"/>
        </w:rPr>
        <w:t xml:space="preserve">An </w:t>
      </w:r>
      <w:r w:rsidR="002510BB">
        <w:rPr>
          <w:rFonts w:ascii="Arial" w:hAnsi="Arial" w:cs="Arial"/>
          <w:iCs/>
          <w:color w:val="000000" w:themeColor="text1"/>
          <w:sz w:val="20"/>
          <w:szCs w:val="20"/>
        </w:rPr>
        <w:t xml:space="preserve"> </w:t>
      </w:r>
      <w:r w:rsidRPr="006A0D22">
        <w:rPr>
          <w:rFonts w:ascii="Arial" w:hAnsi="Arial" w:cs="Arial"/>
          <w:iCs/>
          <w:color w:val="000000" w:themeColor="text1"/>
          <w:sz w:val="20"/>
          <w:szCs w:val="20"/>
        </w:rPr>
        <w:t>ASPEC request made on the ASEAN IP Portal may replace the need for a separate ASPEC Request Form in some AMS IP Offices.</w:t>
      </w:r>
    </w:p>
    <w:p w14:paraId="1500147E" w14:textId="77777777" w:rsidR="009A3457" w:rsidRPr="006A0D22" w:rsidRDefault="009A3457" w:rsidP="009A3457">
      <w:pPr>
        <w:spacing w:after="0" w:line="240" w:lineRule="auto"/>
        <w:ind w:left="567" w:hanging="567"/>
        <w:jc w:val="both"/>
        <w:rPr>
          <w:rFonts w:ascii="Arial" w:hAnsi="Arial" w:cs="Arial"/>
          <w:iCs/>
          <w:color w:val="000000" w:themeColor="text1"/>
          <w:sz w:val="20"/>
          <w:szCs w:val="20"/>
        </w:rPr>
      </w:pPr>
    </w:p>
    <w:p w14:paraId="2C83A74A" w14:textId="0AB7EAE6" w:rsidR="007375E8" w:rsidRPr="009A3457" w:rsidRDefault="009A3457" w:rsidP="007375E8">
      <w:pPr>
        <w:pStyle w:val="ListParagraph"/>
        <w:numPr>
          <w:ilvl w:val="0"/>
          <w:numId w:val="26"/>
        </w:numPr>
        <w:spacing w:after="0" w:line="240" w:lineRule="auto"/>
        <w:ind w:left="567" w:hanging="567"/>
        <w:jc w:val="both"/>
        <w:rPr>
          <w:rFonts w:ascii="Arial" w:hAnsi="Arial" w:cs="Arial"/>
          <w:iCs/>
          <w:sz w:val="20"/>
          <w:szCs w:val="20"/>
        </w:rPr>
      </w:pPr>
      <w:r w:rsidRPr="006A0D22">
        <w:rPr>
          <w:rFonts w:ascii="Arial" w:hAnsi="Arial" w:cs="Arial"/>
          <w:iCs/>
          <w:color w:val="000000" w:themeColor="text1"/>
          <w:sz w:val="20"/>
          <w:szCs w:val="20"/>
        </w:rPr>
        <w:t>ASPEC acceleration will only begin once all required documents have been submitted to the second IP Office in conformity with the mandatory requirements for filing an ASPEC application</w:t>
      </w:r>
      <w:r w:rsidRPr="009A3457">
        <w:rPr>
          <w:rFonts w:ascii="Arial" w:hAnsi="Arial" w:cs="Arial"/>
          <w:iCs/>
          <w:sz w:val="20"/>
          <w:szCs w:val="20"/>
        </w:rPr>
        <w:t>.</w:t>
      </w:r>
    </w:p>
    <w:p w14:paraId="69B5CD14" w14:textId="5A50CEDA" w:rsidR="007375E8" w:rsidRPr="00D03044" w:rsidRDefault="007375E8" w:rsidP="00D03044">
      <w:pPr>
        <w:spacing w:after="0" w:line="240" w:lineRule="auto"/>
        <w:jc w:val="both"/>
        <w:rPr>
          <w:rFonts w:ascii="Arial" w:hAnsi="Arial" w:cs="Arial"/>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62D17C41"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 xml:space="preserve">Building No. 6, Lane 12/93,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t>
                            </w:r>
                            <w:proofErr w:type="spellStart"/>
                            <w:r w:rsidRPr="00B31724">
                              <w:rPr>
                                <w:rFonts w:ascii="Arial" w:hAnsi="Arial" w:cs="Arial"/>
                                <w:sz w:val="20"/>
                                <w:szCs w:val="20"/>
                              </w:rPr>
                              <w:t>Kinh</w:t>
                            </w:r>
                            <w:proofErr w:type="spellEnd"/>
                            <w:r w:rsidRPr="00B31724">
                              <w:rPr>
                                <w:rFonts w:ascii="Arial" w:hAnsi="Arial" w:cs="Arial"/>
                                <w:sz w:val="20"/>
                                <w:szCs w:val="20"/>
                              </w:rPr>
                              <w:t xml:space="preserve"> Street, </w:t>
                            </w:r>
                            <w:proofErr w:type="spellStart"/>
                            <w:r w:rsidRPr="00B31724">
                              <w:rPr>
                                <w:rFonts w:ascii="Arial" w:hAnsi="Arial" w:cs="Arial"/>
                                <w:sz w:val="20"/>
                                <w:szCs w:val="20"/>
                              </w:rPr>
                              <w:t>Nhan</w:t>
                            </w:r>
                            <w:proofErr w:type="spellEnd"/>
                            <w:r w:rsidRPr="00B31724">
                              <w:rPr>
                                <w:rFonts w:ascii="Arial" w:hAnsi="Arial" w:cs="Arial"/>
                                <w:sz w:val="20"/>
                                <w:szCs w:val="20"/>
                              </w:rPr>
                              <w:t xml:space="preserve">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1"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N/k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v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0tzf5EsC&#10;AADCBAAADgAAAAAAAAAAAAAAAAAuAgAAZHJzL2Uyb0RvYy54bWxQSwECLQAUAAYACAAAACEARN6x&#10;FNoAAAAHAQAADwAAAAAAAAAAAAAAAACl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 xml:space="preserve">Building No. 6, Lane 12/93,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t>
                      </w:r>
                      <w:proofErr w:type="spellStart"/>
                      <w:r w:rsidRPr="00B31724">
                        <w:rPr>
                          <w:rFonts w:ascii="Arial" w:hAnsi="Arial" w:cs="Arial"/>
                          <w:sz w:val="20"/>
                          <w:szCs w:val="20"/>
                        </w:rPr>
                        <w:t>Kinh</w:t>
                      </w:r>
                      <w:proofErr w:type="spellEnd"/>
                      <w:r w:rsidRPr="00B31724">
                        <w:rPr>
                          <w:rFonts w:ascii="Arial" w:hAnsi="Arial" w:cs="Arial"/>
                          <w:sz w:val="20"/>
                          <w:szCs w:val="20"/>
                        </w:rPr>
                        <w:t xml:space="preserve"> Street, </w:t>
                      </w:r>
                      <w:proofErr w:type="spellStart"/>
                      <w:r w:rsidRPr="00B31724">
                        <w:rPr>
                          <w:rFonts w:ascii="Arial" w:hAnsi="Arial" w:cs="Arial"/>
                          <w:sz w:val="20"/>
                          <w:szCs w:val="20"/>
                        </w:rPr>
                        <w:t>Nhan</w:t>
                      </w:r>
                      <w:proofErr w:type="spellEnd"/>
                      <w:r w:rsidRPr="00B31724">
                        <w:rPr>
                          <w:rFonts w:ascii="Arial" w:hAnsi="Arial" w:cs="Arial"/>
                          <w:sz w:val="20"/>
                          <w:szCs w:val="20"/>
                        </w:rPr>
                        <w:t xml:space="preserve">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2AD06DEB" w14:textId="77777777" w:rsidR="00D75958" w:rsidRPr="00D03044" w:rsidRDefault="00D75958" w:rsidP="00D75958">
      <w:pPr>
        <w:rPr>
          <w:rFonts w:ascii="Arial" w:hAnsi="Arial" w:cs="Arial"/>
          <w:sz w:val="20"/>
          <w:szCs w:val="20"/>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7"/>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4232E" w14:textId="77777777" w:rsidR="00E426E0" w:rsidRDefault="00E426E0">
      <w:pPr>
        <w:spacing w:after="0" w:line="240" w:lineRule="auto"/>
      </w:pPr>
      <w:r>
        <w:separator/>
      </w:r>
    </w:p>
  </w:endnote>
  <w:endnote w:type="continuationSeparator" w:id="0">
    <w:p w14:paraId="3D9B9021" w14:textId="77777777" w:rsidR="00E426E0" w:rsidRDefault="00E42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E426E0">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E426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8725D" w14:textId="77777777" w:rsidR="00E426E0" w:rsidRDefault="00E426E0">
      <w:pPr>
        <w:spacing w:after="0" w:line="240" w:lineRule="auto"/>
      </w:pPr>
      <w:r>
        <w:separator/>
      </w:r>
    </w:p>
  </w:footnote>
  <w:footnote w:type="continuationSeparator" w:id="0">
    <w:p w14:paraId="7D460B1F" w14:textId="77777777" w:rsidR="00E426E0" w:rsidRDefault="00E426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2707"/>
    <w:multiLevelType w:val="hybridMultilevel"/>
    <w:tmpl w:val="EC38E556"/>
    <w:lvl w:ilvl="0" w:tplc="1494E2B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073FE"/>
    <w:multiLevelType w:val="hybridMultilevel"/>
    <w:tmpl w:val="06345DDE"/>
    <w:lvl w:ilvl="0" w:tplc="E8C08C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5B7D1D"/>
    <w:multiLevelType w:val="hybridMultilevel"/>
    <w:tmpl w:val="0D12AA3E"/>
    <w:lvl w:ilvl="0" w:tplc="DD2C8F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517782"/>
    <w:multiLevelType w:val="hybridMultilevel"/>
    <w:tmpl w:val="16CCF2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22638E"/>
    <w:multiLevelType w:val="hybridMultilevel"/>
    <w:tmpl w:val="F89ACA38"/>
    <w:lvl w:ilvl="0" w:tplc="1494E2B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27373F"/>
    <w:multiLevelType w:val="hybridMultilevel"/>
    <w:tmpl w:val="4568F6EE"/>
    <w:lvl w:ilvl="0" w:tplc="A48C057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944566"/>
    <w:multiLevelType w:val="hybridMultilevel"/>
    <w:tmpl w:val="499EA0B8"/>
    <w:lvl w:ilvl="0" w:tplc="04602D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6A2558"/>
    <w:multiLevelType w:val="hybridMultilevel"/>
    <w:tmpl w:val="D408B022"/>
    <w:lvl w:ilvl="0" w:tplc="A48C057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4" w15:restartNumberingAfterBreak="0">
    <w:nsid w:val="7B7E5F02"/>
    <w:multiLevelType w:val="hybridMultilevel"/>
    <w:tmpl w:val="7760FDBE"/>
    <w:lvl w:ilvl="0" w:tplc="A9C6C6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5"/>
  </w:num>
  <w:num w:numId="3">
    <w:abstractNumId w:val="14"/>
  </w:num>
  <w:num w:numId="4">
    <w:abstractNumId w:val="20"/>
  </w:num>
  <w:num w:numId="5">
    <w:abstractNumId w:val="17"/>
  </w:num>
  <w:num w:numId="6">
    <w:abstractNumId w:val="1"/>
  </w:num>
  <w:num w:numId="7">
    <w:abstractNumId w:val="6"/>
  </w:num>
  <w:num w:numId="8">
    <w:abstractNumId w:val="22"/>
  </w:num>
  <w:num w:numId="9">
    <w:abstractNumId w:val="8"/>
  </w:num>
  <w:num w:numId="10">
    <w:abstractNumId w:val="4"/>
  </w:num>
  <w:num w:numId="11">
    <w:abstractNumId w:val="19"/>
  </w:num>
  <w:num w:numId="12">
    <w:abstractNumId w:val="2"/>
  </w:num>
  <w:num w:numId="13">
    <w:abstractNumId w:val="16"/>
  </w:num>
  <w:num w:numId="14">
    <w:abstractNumId w:val="18"/>
  </w:num>
  <w:num w:numId="15">
    <w:abstractNumId w:val="9"/>
  </w:num>
  <w:num w:numId="16">
    <w:abstractNumId w:val="23"/>
  </w:num>
  <w:num w:numId="17">
    <w:abstractNumId w:val="3"/>
  </w:num>
  <w:num w:numId="18">
    <w:abstractNumId w:val="21"/>
  </w:num>
  <w:num w:numId="19">
    <w:abstractNumId w:val="5"/>
  </w:num>
  <w:num w:numId="20">
    <w:abstractNumId w:val="0"/>
  </w:num>
  <w:num w:numId="21">
    <w:abstractNumId w:val="10"/>
  </w:num>
  <w:num w:numId="22">
    <w:abstractNumId w:val="12"/>
  </w:num>
  <w:num w:numId="23">
    <w:abstractNumId w:val="15"/>
  </w:num>
  <w:num w:numId="24">
    <w:abstractNumId w:val="13"/>
  </w:num>
  <w:num w:numId="25">
    <w:abstractNumId w:val="2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510BB"/>
    <w:rsid w:val="002753DD"/>
    <w:rsid w:val="002B63C0"/>
    <w:rsid w:val="0032315D"/>
    <w:rsid w:val="0033574A"/>
    <w:rsid w:val="003442B0"/>
    <w:rsid w:val="003756D4"/>
    <w:rsid w:val="003D7C8C"/>
    <w:rsid w:val="004A1761"/>
    <w:rsid w:val="004D64BC"/>
    <w:rsid w:val="00531173"/>
    <w:rsid w:val="00576438"/>
    <w:rsid w:val="005D32F9"/>
    <w:rsid w:val="00631122"/>
    <w:rsid w:val="00675D62"/>
    <w:rsid w:val="006A0D22"/>
    <w:rsid w:val="006C0389"/>
    <w:rsid w:val="006F1BC0"/>
    <w:rsid w:val="007375E8"/>
    <w:rsid w:val="00745E08"/>
    <w:rsid w:val="007C392A"/>
    <w:rsid w:val="00813493"/>
    <w:rsid w:val="00820E66"/>
    <w:rsid w:val="008366D4"/>
    <w:rsid w:val="008416E5"/>
    <w:rsid w:val="00933532"/>
    <w:rsid w:val="009A3457"/>
    <w:rsid w:val="00A4177F"/>
    <w:rsid w:val="00A623C4"/>
    <w:rsid w:val="00AC74F1"/>
    <w:rsid w:val="00AF0703"/>
    <w:rsid w:val="00C13ACF"/>
    <w:rsid w:val="00C26A39"/>
    <w:rsid w:val="00CA3F97"/>
    <w:rsid w:val="00CC3A67"/>
    <w:rsid w:val="00CE035D"/>
    <w:rsid w:val="00D02775"/>
    <w:rsid w:val="00D03044"/>
    <w:rsid w:val="00D04B4E"/>
    <w:rsid w:val="00D417C1"/>
    <w:rsid w:val="00D645F2"/>
    <w:rsid w:val="00D75958"/>
    <w:rsid w:val="00E02884"/>
    <w:rsid w:val="00E426E0"/>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1793</Words>
  <Characters>10224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10</cp:revision>
  <cp:lastPrinted>2023-04-05T07:00:00Z</cp:lastPrinted>
  <dcterms:created xsi:type="dcterms:W3CDTF">2023-02-07T03:35:00Z</dcterms:created>
  <dcterms:modified xsi:type="dcterms:W3CDTF">2023-04-05T07:00:00Z</dcterms:modified>
</cp:coreProperties>
</file>