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88951" w14:textId="0DE2EBE1" w:rsidR="00D03044" w:rsidRPr="008333BF" w:rsidRDefault="004D64BC" w:rsidP="00614B9A">
      <w:pPr>
        <w:jc w:val="center"/>
        <w:outlineLvl w:val="0"/>
        <w:rPr>
          <w:rFonts w:ascii="Arial" w:hAnsi="Arial" w:cs="Arial"/>
          <w:b/>
          <w:iCs/>
          <w:color w:val="C00000"/>
          <w:lang w:val="vi-VN"/>
        </w:rPr>
      </w:pPr>
      <w:r w:rsidRPr="008333BF">
        <w:rPr>
          <w:rFonts w:ascii="Arial" w:hAnsi="Arial" w:cs="Arial"/>
          <w:b/>
          <w:bCs/>
          <w:noProof/>
          <w:color w:val="C00000"/>
          <w:sz w:val="24"/>
          <w:szCs w:val="24"/>
          <w:lang w:val="vi-VN" w:eastAsia="ko-KR"/>
        </w:rPr>
        <mc:AlternateContent>
          <mc:Choice Requires="wps">
            <w:drawing>
              <wp:anchor distT="0" distB="0" distL="114300" distR="114300" simplePos="0" relativeHeight="251663360" behindDoc="0" locked="0" layoutInCell="1" allowOverlap="1" wp14:anchorId="2DCC2FA5" wp14:editId="53BBA0FB">
                <wp:simplePos x="0" y="0"/>
                <wp:positionH relativeFrom="column">
                  <wp:posOffset>6423660</wp:posOffset>
                </wp:positionH>
                <wp:positionV relativeFrom="paragraph">
                  <wp:posOffset>-340995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09F9299B" w:rsidR="00FA2CEE" w:rsidRPr="00BA68B8" w:rsidRDefault="00CE5541" w:rsidP="00FA2CEE">
                            <w:pPr>
                              <w:spacing w:after="0" w:line="240" w:lineRule="auto"/>
                              <w:rPr>
                                <w:rFonts w:ascii="Arial" w:hAnsi="Arial" w:cs="Arial"/>
                                <w:b/>
                                <w:color w:val="FFFFFF" w:themeColor="background1"/>
                                <w:sz w:val="20"/>
                                <w:szCs w:val="20"/>
                              </w:rPr>
                            </w:pPr>
                            <w:r w:rsidRPr="00CE5541">
                              <w:rPr>
                                <w:rFonts w:ascii="Arial" w:hAnsi="Arial" w:cs="Arial"/>
                                <w:b/>
                                <w:bCs/>
                                <w:color w:val="FFFFFF" w:themeColor="background1"/>
                                <w:sz w:val="20"/>
                                <w:szCs w:val="20"/>
                                <w:lang w:val="vi-VN"/>
                              </w:rPr>
                              <w:t>Giám định IP và giải quyết tranh chấp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5.8pt;margin-top:-26.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" fillcolor="#00b39c" strokecolor="#00b39c" strokeweight="0">
                <v:textbox style="layout-flow:vertical">
                  <w:txbxContent>
                    <w:p w14:paraId="0E54C250" w14:textId="09F9299B" w:rsidR="00FA2CEE" w:rsidRPr="00BA68B8" w:rsidRDefault="00CE5541" w:rsidP="00FA2CEE">
                      <w:pPr>
                        <w:spacing w:after="0" w:line="240" w:lineRule="auto"/>
                        <w:rPr>
                          <w:rFonts w:ascii="Arial" w:hAnsi="Arial" w:cs="Arial"/>
                          <w:b/>
                          <w:color w:val="FFFFFF" w:themeColor="background1"/>
                          <w:sz w:val="20"/>
                          <w:szCs w:val="20"/>
                        </w:rPr>
                      </w:pPr>
                      <w:bookmarkStart w:id="1" w:name="_GoBack"/>
                      <w:r w:rsidRPr="00CE5541">
                        <w:rPr>
                          <w:rFonts w:ascii="Arial" w:hAnsi="Arial" w:cs="Arial"/>
                          <w:b/>
                          <w:bCs/>
                          <w:color w:val="FFFFFF" w:themeColor="background1"/>
                          <w:sz w:val="20"/>
                          <w:szCs w:val="20"/>
                          <w:lang w:val="vi-VN"/>
                        </w:rPr>
                        <w:t>Giám định IP và giải quyết tranh chấp tại Việt Nam</w:t>
                      </w:r>
                      <w:bookmarkEnd w:id="1"/>
                    </w:p>
                  </w:txbxContent>
                </v:textbox>
              </v:rect>
            </w:pict>
          </mc:Fallback>
        </mc:AlternateContent>
      </w:r>
      <w:r w:rsidR="00745E08" w:rsidRPr="008333BF">
        <w:rPr>
          <w:rFonts w:ascii="Arial" w:hAnsi="Arial" w:cs="Arial"/>
          <w:b/>
          <w:bCs/>
          <w:noProof/>
          <w:color w:val="C00000"/>
          <w:lang w:val="vi-VN"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4344BB8D" w:rsidR="00FA2CEE" w:rsidRPr="00CC7576" w:rsidRDefault="004D59AD" w:rsidP="00FA2CEE">
                            <w:pPr>
                              <w:spacing w:after="0"/>
                              <w:jc w:val="center"/>
                              <w:rPr>
                                <w:rFonts w:ascii="Arial" w:hAnsi="Arial" w:cs="Arial"/>
                                <w:b/>
                                <w:color w:val="FFFFFF" w:themeColor="background1"/>
                                <w:sz w:val="20"/>
                                <w:szCs w:val="20"/>
                              </w:rPr>
                            </w:pPr>
                            <w:bookmarkStart w:id="0" w:name="_Hlk132962948"/>
                            <w:bookmarkStart w:id="1" w:name="_Hlk132962949"/>
                            <w:proofErr w:type="spellStart"/>
                            <w:r w:rsidRPr="004D59AD">
                              <w:rPr>
                                <w:rFonts w:ascii="Arial" w:hAnsi="Arial" w:cs="Arial"/>
                                <w:b/>
                                <w:bCs/>
                                <w:color w:val="FFFFFF" w:themeColor="background1"/>
                                <w:sz w:val="20"/>
                                <w:szCs w:val="20"/>
                              </w:rPr>
                              <w:t>Giám</w:t>
                            </w:r>
                            <w:proofErr w:type="spellEnd"/>
                            <w:r w:rsidRPr="004D59AD">
                              <w:rPr>
                                <w:rFonts w:ascii="Arial" w:hAnsi="Arial" w:cs="Arial"/>
                                <w:b/>
                                <w:bCs/>
                                <w:color w:val="FFFFFF" w:themeColor="background1"/>
                                <w:sz w:val="20"/>
                                <w:szCs w:val="20"/>
                              </w:rPr>
                              <w:t xml:space="preserve"> </w:t>
                            </w:r>
                            <w:proofErr w:type="spellStart"/>
                            <w:r w:rsidRPr="004D59AD">
                              <w:rPr>
                                <w:rFonts w:ascii="Arial" w:hAnsi="Arial" w:cs="Arial"/>
                                <w:b/>
                                <w:bCs/>
                                <w:color w:val="FFFFFF" w:themeColor="background1"/>
                                <w:sz w:val="20"/>
                                <w:szCs w:val="20"/>
                              </w:rPr>
                              <w:t>định</w:t>
                            </w:r>
                            <w:proofErr w:type="spellEnd"/>
                            <w:r w:rsidRPr="004D59AD">
                              <w:rPr>
                                <w:rFonts w:ascii="Arial" w:hAnsi="Arial" w:cs="Arial"/>
                                <w:b/>
                                <w:bCs/>
                                <w:color w:val="FFFFFF" w:themeColor="background1"/>
                                <w:sz w:val="20"/>
                                <w:szCs w:val="20"/>
                              </w:rPr>
                              <w:t xml:space="preserve"> </w:t>
                            </w:r>
                            <w:r>
                              <w:rPr>
                                <w:rFonts w:ascii="Arial" w:hAnsi="Arial" w:cs="Arial"/>
                                <w:b/>
                                <w:bCs/>
                                <w:color w:val="FFFFFF" w:themeColor="background1"/>
                                <w:sz w:val="20"/>
                                <w:szCs w:val="20"/>
                              </w:rPr>
                              <w:t xml:space="preserve">IP </w:t>
                            </w:r>
                            <w:proofErr w:type="spellStart"/>
                            <w:r w:rsidRPr="004D59AD">
                              <w:rPr>
                                <w:rFonts w:ascii="Arial" w:hAnsi="Arial" w:cs="Arial"/>
                                <w:b/>
                                <w:bCs/>
                                <w:color w:val="FFFFFF" w:themeColor="background1"/>
                                <w:sz w:val="20"/>
                                <w:szCs w:val="20"/>
                              </w:rPr>
                              <w:t>và</w:t>
                            </w:r>
                            <w:proofErr w:type="spellEnd"/>
                            <w:r w:rsidRPr="004D59AD">
                              <w:rPr>
                                <w:rFonts w:ascii="Arial" w:hAnsi="Arial" w:cs="Arial"/>
                                <w:b/>
                                <w:bCs/>
                                <w:color w:val="FFFFFF" w:themeColor="background1"/>
                                <w:sz w:val="20"/>
                                <w:szCs w:val="20"/>
                              </w:rPr>
                              <w:t xml:space="preserve"> </w:t>
                            </w:r>
                            <w:proofErr w:type="spellStart"/>
                            <w:r w:rsidRPr="004D59AD">
                              <w:rPr>
                                <w:rFonts w:ascii="Arial" w:hAnsi="Arial" w:cs="Arial"/>
                                <w:b/>
                                <w:bCs/>
                                <w:color w:val="FFFFFF" w:themeColor="background1"/>
                                <w:sz w:val="20"/>
                                <w:szCs w:val="20"/>
                              </w:rPr>
                              <w:t>giải</w:t>
                            </w:r>
                            <w:proofErr w:type="spellEnd"/>
                            <w:r w:rsidRPr="004D59AD">
                              <w:rPr>
                                <w:rFonts w:ascii="Arial" w:hAnsi="Arial" w:cs="Arial"/>
                                <w:b/>
                                <w:bCs/>
                                <w:color w:val="FFFFFF" w:themeColor="background1"/>
                                <w:sz w:val="20"/>
                                <w:szCs w:val="20"/>
                              </w:rPr>
                              <w:t xml:space="preserve"> </w:t>
                            </w:r>
                            <w:proofErr w:type="spellStart"/>
                            <w:r w:rsidRPr="004D59AD">
                              <w:rPr>
                                <w:rFonts w:ascii="Arial" w:hAnsi="Arial" w:cs="Arial"/>
                                <w:b/>
                                <w:bCs/>
                                <w:color w:val="FFFFFF" w:themeColor="background1"/>
                                <w:sz w:val="20"/>
                                <w:szCs w:val="20"/>
                              </w:rPr>
                              <w:t>quyết</w:t>
                            </w:r>
                            <w:proofErr w:type="spellEnd"/>
                            <w:r w:rsidRPr="004D59AD">
                              <w:rPr>
                                <w:rFonts w:ascii="Arial" w:hAnsi="Arial" w:cs="Arial"/>
                                <w:b/>
                                <w:bCs/>
                                <w:color w:val="FFFFFF" w:themeColor="background1"/>
                                <w:sz w:val="20"/>
                                <w:szCs w:val="20"/>
                              </w:rPr>
                              <w:t xml:space="preserve"> </w:t>
                            </w:r>
                            <w:proofErr w:type="spellStart"/>
                            <w:r w:rsidRPr="004D59AD">
                              <w:rPr>
                                <w:rFonts w:ascii="Arial" w:hAnsi="Arial" w:cs="Arial"/>
                                <w:b/>
                                <w:bCs/>
                                <w:color w:val="FFFFFF" w:themeColor="background1"/>
                                <w:sz w:val="20"/>
                                <w:szCs w:val="20"/>
                              </w:rPr>
                              <w:t>tranh</w:t>
                            </w:r>
                            <w:proofErr w:type="spellEnd"/>
                            <w:r w:rsidRPr="004D59AD">
                              <w:rPr>
                                <w:rFonts w:ascii="Arial" w:hAnsi="Arial" w:cs="Arial"/>
                                <w:b/>
                                <w:bCs/>
                                <w:color w:val="FFFFFF" w:themeColor="background1"/>
                                <w:sz w:val="20"/>
                                <w:szCs w:val="20"/>
                              </w:rPr>
                              <w:t xml:space="preserve"> </w:t>
                            </w:r>
                            <w:proofErr w:type="spellStart"/>
                            <w:r w:rsidRPr="004D59AD">
                              <w:rPr>
                                <w:rFonts w:ascii="Arial" w:hAnsi="Arial" w:cs="Arial"/>
                                <w:b/>
                                <w:bCs/>
                                <w:color w:val="FFFFFF" w:themeColor="background1"/>
                                <w:sz w:val="20"/>
                                <w:szCs w:val="20"/>
                              </w:rPr>
                              <w:t>chấp</w:t>
                            </w:r>
                            <w:proofErr w:type="spellEnd"/>
                            <w:r w:rsidRPr="004D59AD">
                              <w:rPr>
                                <w:rFonts w:ascii="Arial" w:hAnsi="Arial" w:cs="Arial"/>
                                <w:b/>
                                <w:bCs/>
                                <w:color w:val="FFFFFF" w:themeColor="background1"/>
                                <w:sz w:val="20"/>
                                <w:szCs w:val="20"/>
                              </w:rPr>
                              <w:t xml:space="preserve"> </w:t>
                            </w:r>
                            <w:proofErr w:type="spellStart"/>
                            <w:r w:rsidRPr="004D59AD">
                              <w:rPr>
                                <w:rFonts w:ascii="Arial" w:hAnsi="Arial" w:cs="Arial"/>
                                <w:b/>
                                <w:bCs/>
                                <w:color w:val="FFFFFF" w:themeColor="background1"/>
                                <w:sz w:val="20"/>
                                <w:szCs w:val="20"/>
                              </w:rPr>
                              <w:t>tại</w:t>
                            </w:r>
                            <w:proofErr w:type="spellEnd"/>
                            <w:r w:rsidRPr="004D59AD">
                              <w:rPr>
                                <w:rFonts w:ascii="Arial" w:hAnsi="Arial" w:cs="Arial"/>
                                <w:b/>
                                <w:bCs/>
                                <w:color w:val="FFFFFF" w:themeColor="background1"/>
                                <w:sz w:val="20"/>
                                <w:szCs w:val="20"/>
                              </w:rPr>
                              <w:t xml:space="preserve"> </w:t>
                            </w:r>
                            <w:proofErr w:type="spellStart"/>
                            <w:r w:rsidRPr="004D59AD">
                              <w:rPr>
                                <w:rFonts w:ascii="Arial" w:hAnsi="Arial" w:cs="Arial"/>
                                <w:b/>
                                <w:bCs/>
                                <w:color w:val="FFFFFF" w:themeColor="background1"/>
                                <w:sz w:val="20"/>
                                <w:szCs w:val="20"/>
                              </w:rPr>
                              <w:t>Việt</w:t>
                            </w:r>
                            <w:proofErr w:type="spellEnd"/>
                            <w:r w:rsidRPr="004D59AD">
                              <w:rPr>
                                <w:rFonts w:ascii="Arial" w:hAnsi="Arial" w:cs="Arial"/>
                                <w:b/>
                                <w:bCs/>
                                <w:color w:val="FFFFFF" w:themeColor="background1"/>
                                <w:sz w:val="20"/>
                                <w:szCs w:val="20"/>
                              </w:rPr>
                              <w:t xml:space="preserve"> Nam</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4344BB8D" w:rsidR="00FA2CEE" w:rsidRPr="00CC7576" w:rsidRDefault="004D59AD" w:rsidP="00FA2CEE">
                      <w:pPr>
                        <w:spacing w:after="0"/>
                        <w:jc w:val="center"/>
                        <w:rPr>
                          <w:rFonts w:ascii="Arial" w:hAnsi="Arial" w:cs="Arial"/>
                          <w:b/>
                          <w:color w:val="FFFFFF" w:themeColor="background1"/>
                          <w:sz w:val="20"/>
                          <w:szCs w:val="20"/>
                        </w:rPr>
                      </w:pPr>
                      <w:bookmarkStart w:id="2" w:name="_Hlk132962948"/>
                      <w:bookmarkStart w:id="3" w:name="_Hlk132962949"/>
                      <w:proofErr w:type="spellStart"/>
                      <w:r w:rsidRPr="004D59AD">
                        <w:rPr>
                          <w:rFonts w:ascii="Arial" w:hAnsi="Arial" w:cs="Arial"/>
                          <w:b/>
                          <w:bCs/>
                          <w:color w:val="FFFFFF" w:themeColor="background1"/>
                          <w:sz w:val="20"/>
                          <w:szCs w:val="20"/>
                        </w:rPr>
                        <w:t>Giám</w:t>
                      </w:r>
                      <w:proofErr w:type="spellEnd"/>
                      <w:r w:rsidRPr="004D59AD">
                        <w:rPr>
                          <w:rFonts w:ascii="Arial" w:hAnsi="Arial" w:cs="Arial"/>
                          <w:b/>
                          <w:bCs/>
                          <w:color w:val="FFFFFF" w:themeColor="background1"/>
                          <w:sz w:val="20"/>
                          <w:szCs w:val="20"/>
                        </w:rPr>
                        <w:t xml:space="preserve"> </w:t>
                      </w:r>
                      <w:proofErr w:type="spellStart"/>
                      <w:r w:rsidRPr="004D59AD">
                        <w:rPr>
                          <w:rFonts w:ascii="Arial" w:hAnsi="Arial" w:cs="Arial"/>
                          <w:b/>
                          <w:bCs/>
                          <w:color w:val="FFFFFF" w:themeColor="background1"/>
                          <w:sz w:val="20"/>
                          <w:szCs w:val="20"/>
                        </w:rPr>
                        <w:t>định</w:t>
                      </w:r>
                      <w:proofErr w:type="spellEnd"/>
                      <w:r w:rsidRPr="004D59AD">
                        <w:rPr>
                          <w:rFonts w:ascii="Arial" w:hAnsi="Arial" w:cs="Arial"/>
                          <w:b/>
                          <w:bCs/>
                          <w:color w:val="FFFFFF" w:themeColor="background1"/>
                          <w:sz w:val="20"/>
                          <w:szCs w:val="20"/>
                        </w:rPr>
                        <w:t xml:space="preserve"> </w:t>
                      </w:r>
                      <w:r>
                        <w:rPr>
                          <w:rFonts w:ascii="Arial" w:hAnsi="Arial" w:cs="Arial"/>
                          <w:b/>
                          <w:bCs/>
                          <w:color w:val="FFFFFF" w:themeColor="background1"/>
                          <w:sz w:val="20"/>
                          <w:szCs w:val="20"/>
                        </w:rPr>
                        <w:t xml:space="preserve">IP </w:t>
                      </w:r>
                      <w:proofErr w:type="spellStart"/>
                      <w:r w:rsidRPr="004D59AD">
                        <w:rPr>
                          <w:rFonts w:ascii="Arial" w:hAnsi="Arial" w:cs="Arial"/>
                          <w:b/>
                          <w:bCs/>
                          <w:color w:val="FFFFFF" w:themeColor="background1"/>
                          <w:sz w:val="20"/>
                          <w:szCs w:val="20"/>
                        </w:rPr>
                        <w:t>và</w:t>
                      </w:r>
                      <w:proofErr w:type="spellEnd"/>
                      <w:r w:rsidRPr="004D59AD">
                        <w:rPr>
                          <w:rFonts w:ascii="Arial" w:hAnsi="Arial" w:cs="Arial"/>
                          <w:b/>
                          <w:bCs/>
                          <w:color w:val="FFFFFF" w:themeColor="background1"/>
                          <w:sz w:val="20"/>
                          <w:szCs w:val="20"/>
                        </w:rPr>
                        <w:t xml:space="preserve"> </w:t>
                      </w:r>
                      <w:proofErr w:type="spellStart"/>
                      <w:r w:rsidRPr="004D59AD">
                        <w:rPr>
                          <w:rFonts w:ascii="Arial" w:hAnsi="Arial" w:cs="Arial"/>
                          <w:b/>
                          <w:bCs/>
                          <w:color w:val="FFFFFF" w:themeColor="background1"/>
                          <w:sz w:val="20"/>
                          <w:szCs w:val="20"/>
                        </w:rPr>
                        <w:t>giải</w:t>
                      </w:r>
                      <w:proofErr w:type="spellEnd"/>
                      <w:r w:rsidRPr="004D59AD">
                        <w:rPr>
                          <w:rFonts w:ascii="Arial" w:hAnsi="Arial" w:cs="Arial"/>
                          <w:b/>
                          <w:bCs/>
                          <w:color w:val="FFFFFF" w:themeColor="background1"/>
                          <w:sz w:val="20"/>
                          <w:szCs w:val="20"/>
                        </w:rPr>
                        <w:t xml:space="preserve"> </w:t>
                      </w:r>
                      <w:proofErr w:type="spellStart"/>
                      <w:r w:rsidRPr="004D59AD">
                        <w:rPr>
                          <w:rFonts w:ascii="Arial" w:hAnsi="Arial" w:cs="Arial"/>
                          <w:b/>
                          <w:bCs/>
                          <w:color w:val="FFFFFF" w:themeColor="background1"/>
                          <w:sz w:val="20"/>
                          <w:szCs w:val="20"/>
                        </w:rPr>
                        <w:t>quyết</w:t>
                      </w:r>
                      <w:proofErr w:type="spellEnd"/>
                      <w:r w:rsidRPr="004D59AD">
                        <w:rPr>
                          <w:rFonts w:ascii="Arial" w:hAnsi="Arial" w:cs="Arial"/>
                          <w:b/>
                          <w:bCs/>
                          <w:color w:val="FFFFFF" w:themeColor="background1"/>
                          <w:sz w:val="20"/>
                          <w:szCs w:val="20"/>
                        </w:rPr>
                        <w:t xml:space="preserve"> </w:t>
                      </w:r>
                      <w:proofErr w:type="spellStart"/>
                      <w:r w:rsidRPr="004D59AD">
                        <w:rPr>
                          <w:rFonts w:ascii="Arial" w:hAnsi="Arial" w:cs="Arial"/>
                          <w:b/>
                          <w:bCs/>
                          <w:color w:val="FFFFFF" w:themeColor="background1"/>
                          <w:sz w:val="20"/>
                          <w:szCs w:val="20"/>
                        </w:rPr>
                        <w:t>tranh</w:t>
                      </w:r>
                      <w:proofErr w:type="spellEnd"/>
                      <w:r w:rsidRPr="004D59AD">
                        <w:rPr>
                          <w:rFonts w:ascii="Arial" w:hAnsi="Arial" w:cs="Arial"/>
                          <w:b/>
                          <w:bCs/>
                          <w:color w:val="FFFFFF" w:themeColor="background1"/>
                          <w:sz w:val="20"/>
                          <w:szCs w:val="20"/>
                        </w:rPr>
                        <w:t xml:space="preserve"> </w:t>
                      </w:r>
                      <w:proofErr w:type="spellStart"/>
                      <w:r w:rsidRPr="004D59AD">
                        <w:rPr>
                          <w:rFonts w:ascii="Arial" w:hAnsi="Arial" w:cs="Arial"/>
                          <w:b/>
                          <w:bCs/>
                          <w:color w:val="FFFFFF" w:themeColor="background1"/>
                          <w:sz w:val="20"/>
                          <w:szCs w:val="20"/>
                        </w:rPr>
                        <w:t>chấp</w:t>
                      </w:r>
                      <w:proofErr w:type="spellEnd"/>
                      <w:r w:rsidRPr="004D59AD">
                        <w:rPr>
                          <w:rFonts w:ascii="Arial" w:hAnsi="Arial" w:cs="Arial"/>
                          <w:b/>
                          <w:bCs/>
                          <w:color w:val="FFFFFF" w:themeColor="background1"/>
                          <w:sz w:val="20"/>
                          <w:szCs w:val="20"/>
                        </w:rPr>
                        <w:t xml:space="preserve"> </w:t>
                      </w:r>
                      <w:proofErr w:type="spellStart"/>
                      <w:r w:rsidRPr="004D59AD">
                        <w:rPr>
                          <w:rFonts w:ascii="Arial" w:hAnsi="Arial" w:cs="Arial"/>
                          <w:b/>
                          <w:bCs/>
                          <w:color w:val="FFFFFF" w:themeColor="background1"/>
                          <w:sz w:val="20"/>
                          <w:szCs w:val="20"/>
                        </w:rPr>
                        <w:t>tại</w:t>
                      </w:r>
                      <w:proofErr w:type="spellEnd"/>
                      <w:r w:rsidRPr="004D59AD">
                        <w:rPr>
                          <w:rFonts w:ascii="Arial" w:hAnsi="Arial" w:cs="Arial"/>
                          <w:b/>
                          <w:bCs/>
                          <w:color w:val="FFFFFF" w:themeColor="background1"/>
                          <w:sz w:val="20"/>
                          <w:szCs w:val="20"/>
                        </w:rPr>
                        <w:t xml:space="preserve"> </w:t>
                      </w:r>
                      <w:proofErr w:type="spellStart"/>
                      <w:r w:rsidRPr="004D59AD">
                        <w:rPr>
                          <w:rFonts w:ascii="Arial" w:hAnsi="Arial" w:cs="Arial"/>
                          <w:b/>
                          <w:bCs/>
                          <w:color w:val="FFFFFF" w:themeColor="background1"/>
                          <w:sz w:val="20"/>
                          <w:szCs w:val="20"/>
                        </w:rPr>
                        <w:t>Việt</w:t>
                      </w:r>
                      <w:proofErr w:type="spellEnd"/>
                      <w:r w:rsidRPr="004D59AD">
                        <w:rPr>
                          <w:rFonts w:ascii="Arial" w:hAnsi="Arial" w:cs="Arial"/>
                          <w:b/>
                          <w:bCs/>
                          <w:color w:val="FFFFFF" w:themeColor="background1"/>
                          <w:sz w:val="20"/>
                          <w:szCs w:val="20"/>
                        </w:rPr>
                        <w:t xml:space="preserve"> Nam</w:t>
                      </w:r>
                      <w:bookmarkEnd w:id="2"/>
                      <w:bookmarkEnd w:id="3"/>
                    </w:p>
                  </w:txbxContent>
                </v:textbox>
                <w10:wrap anchorx="page"/>
              </v:rect>
            </w:pict>
          </mc:Fallback>
        </mc:AlternateContent>
      </w:r>
      <w:r w:rsidR="00614B9A" w:rsidRPr="008333BF">
        <w:rPr>
          <w:lang w:val="vi-VN"/>
        </w:rPr>
        <w:t xml:space="preserve"> </w:t>
      </w:r>
      <w:r w:rsidR="00076D36" w:rsidRPr="00076D36">
        <w:rPr>
          <w:rFonts w:ascii="Arial" w:hAnsi="Arial" w:cs="Arial"/>
          <w:b/>
          <w:bCs/>
          <w:noProof/>
          <w:color w:val="C00000"/>
          <w:lang w:val="vi-VN" w:eastAsia="ko-KR"/>
        </w:rPr>
        <w:t>Giám định sở hữu trí tuệ và giải quyết tranh chấp tại Việt Nam: Vai trò và số liệu thống kê của Viện Khoa học Sở hữu Trí tuệ</w:t>
      </w:r>
    </w:p>
    <w:p w14:paraId="699A3F03" w14:textId="77777777" w:rsidR="001E76FA" w:rsidRPr="008333BF" w:rsidRDefault="001E76FA" w:rsidP="001E76FA">
      <w:pPr>
        <w:spacing w:after="0" w:line="240" w:lineRule="auto"/>
        <w:jc w:val="both"/>
        <w:rPr>
          <w:rFonts w:ascii="Arial" w:hAnsi="Arial" w:cs="Arial"/>
          <w:iCs/>
          <w:sz w:val="20"/>
          <w:szCs w:val="20"/>
          <w:lang w:val="vi-VN"/>
        </w:rPr>
      </w:pPr>
    </w:p>
    <w:p w14:paraId="2CD44CB1" w14:textId="420F32AA" w:rsidR="00391C68" w:rsidRPr="00391C68" w:rsidRDefault="00391C68" w:rsidP="00391C68">
      <w:pPr>
        <w:spacing w:after="0" w:line="240" w:lineRule="auto"/>
        <w:jc w:val="both"/>
        <w:rPr>
          <w:rFonts w:ascii="Arial" w:hAnsi="Arial" w:cs="Arial"/>
          <w:iCs/>
          <w:sz w:val="20"/>
          <w:szCs w:val="20"/>
          <w:lang w:val="vi-VN"/>
        </w:rPr>
      </w:pPr>
      <w:r w:rsidRPr="00391C68">
        <w:rPr>
          <w:rFonts w:ascii="Arial" w:hAnsi="Arial" w:cs="Arial"/>
          <w:iCs/>
          <w:sz w:val="20"/>
          <w:szCs w:val="20"/>
          <w:lang w:val="vi-VN"/>
        </w:rPr>
        <w:t>Viện Khoa học Sở hữu Trí tuệ Việt Nam (</w:t>
      </w:r>
      <w:r w:rsidR="003A33CA" w:rsidRPr="00FF0A30">
        <w:rPr>
          <w:rFonts w:ascii="Arial" w:hAnsi="Arial" w:cs="Arial"/>
          <w:b/>
          <w:iCs/>
          <w:color w:val="ED7D31" w:themeColor="accent2"/>
          <w:sz w:val="20"/>
          <w:szCs w:val="20"/>
          <w:lang w:val="vi-VN"/>
        </w:rPr>
        <w:fldChar w:fldCharType="begin"/>
      </w:r>
      <w:r w:rsidR="003A33CA" w:rsidRPr="00FF0A30">
        <w:rPr>
          <w:rFonts w:ascii="Arial" w:hAnsi="Arial" w:cs="Arial"/>
          <w:b/>
          <w:iCs/>
          <w:color w:val="ED7D31" w:themeColor="accent2"/>
          <w:sz w:val="20"/>
          <w:szCs w:val="20"/>
          <w:lang w:val="vi-VN"/>
        </w:rPr>
        <w:instrText xml:space="preserve"> HYPERLINK "http://vipri.gov.vn/" </w:instrText>
      </w:r>
      <w:r w:rsidR="003A33CA" w:rsidRPr="00FF0A30">
        <w:rPr>
          <w:rFonts w:ascii="Arial" w:hAnsi="Arial" w:cs="Arial"/>
          <w:b/>
          <w:iCs/>
          <w:color w:val="ED7D31" w:themeColor="accent2"/>
          <w:sz w:val="20"/>
          <w:szCs w:val="20"/>
          <w:lang w:val="vi-VN"/>
        </w:rPr>
        <w:fldChar w:fldCharType="separate"/>
      </w:r>
      <w:r w:rsidRPr="00FF0A30">
        <w:rPr>
          <w:rStyle w:val="Hyperlink"/>
          <w:rFonts w:ascii="Arial" w:hAnsi="Arial" w:cs="Arial"/>
          <w:b/>
          <w:iCs/>
          <w:color w:val="ED7D31" w:themeColor="accent2"/>
          <w:sz w:val="20"/>
          <w:szCs w:val="20"/>
          <w:u w:val="none"/>
          <w:lang w:val="vi-VN"/>
        </w:rPr>
        <w:t>Viện KHSHTT</w:t>
      </w:r>
      <w:r w:rsidR="003A33CA" w:rsidRPr="00FF0A30">
        <w:rPr>
          <w:rFonts w:ascii="Arial" w:hAnsi="Arial" w:cs="Arial"/>
          <w:b/>
          <w:iCs/>
          <w:color w:val="ED7D31" w:themeColor="accent2"/>
          <w:sz w:val="20"/>
          <w:szCs w:val="20"/>
          <w:lang w:val="vi-VN"/>
        </w:rPr>
        <w:fldChar w:fldCharType="end"/>
      </w:r>
      <w:r w:rsidRPr="00391C68">
        <w:rPr>
          <w:rFonts w:ascii="Arial" w:hAnsi="Arial" w:cs="Arial"/>
          <w:iCs/>
          <w:sz w:val="20"/>
          <w:szCs w:val="20"/>
          <w:lang w:val="vi-VN"/>
        </w:rPr>
        <w:t xml:space="preserve">) là cơ quan nghiên cứu chuyên ngành trực thuộc Bộ Khoa học và Công nghệ Việt Nam. Một trong những nhiệm vụ quan trọng của Viện KHSHTT là cung cấp ý kiến và đánh giá chuyên môn liên quan đến các vụ việc xâm phạm quyền </w:t>
      </w:r>
      <w:r w:rsidRPr="00CB5AE5">
        <w:rPr>
          <w:rFonts w:ascii="Arial" w:hAnsi="Arial" w:cs="Arial"/>
          <w:b/>
          <w:iCs/>
          <w:sz w:val="20"/>
          <w:szCs w:val="20"/>
          <w:lang w:val="vi-VN"/>
        </w:rPr>
        <w:t>sở hữu công nghiệp</w:t>
      </w:r>
      <w:r w:rsidRPr="00391C68">
        <w:rPr>
          <w:rFonts w:ascii="Arial" w:hAnsi="Arial" w:cs="Arial"/>
          <w:iCs/>
          <w:sz w:val="20"/>
          <w:szCs w:val="20"/>
          <w:lang w:val="vi-VN"/>
        </w:rPr>
        <w:t>. Đặc biệt, các ý kiến chuyên môn/giám định của Viện KHSHTT tập trung vào các đối tượng sở hữu công nghiệp như sáng chế, kiểu dáng công nghiệp, thiết kế mạch kín bán dẫn, bí mật kinh doanh, nhãn hiệu, tên thương mại, chỉ dẫn địa lý.</w:t>
      </w:r>
    </w:p>
    <w:p w14:paraId="678EEB6E" w14:textId="77777777" w:rsidR="00391C68" w:rsidRPr="00391C68" w:rsidRDefault="00391C68" w:rsidP="00391C68">
      <w:pPr>
        <w:spacing w:after="0" w:line="240" w:lineRule="auto"/>
        <w:jc w:val="both"/>
        <w:rPr>
          <w:rFonts w:ascii="Arial" w:hAnsi="Arial" w:cs="Arial"/>
          <w:iCs/>
          <w:sz w:val="20"/>
          <w:szCs w:val="20"/>
          <w:lang w:val="vi-VN"/>
        </w:rPr>
      </w:pPr>
    </w:p>
    <w:p w14:paraId="70EABF96" w14:textId="77777777" w:rsidR="00391C68" w:rsidRPr="00391C68" w:rsidRDefault="00391C68" w:rsidP="00391C68">
      <w:pPr>
        <w:spacing w:after="0" w:line="240" w:lineRule="auto"/>
        <w:jc w:val="both"/>
        <w:rPr>
          <w:rFonts w:ascii="Arial" w:hAnsi="Arial" w:cs="Arial"/>
          <w:iCs/>
          <w:sz w:val="20"/>
          <w:szCs w:val="20"/>
          <w:lang w:val="vi-VN"/>
        </w:rPr>
      </w:pPr>
      <w:r w:rsidRPr="00391C68">
        <w:rPr>
          <w:rFonts w:ascii="Arial" w:hAnsi="Arial" w:cs="Arial"/>
          <w:iCs/>
          <w:sz w:val="20"/>
          <w:szCs w:val="20"/>
          <w:lang w:val="vi-VN"/>
        </w:rPr>
        <w:t>Là một tổ chức nghiên cứu chuyên ngành tại Việt Nam, Viện KHSHTT cung cấp ý kiến chuyên môn, kết luận giám định cho các bên liên quan như Cơ quan thực thi pháp luật Việt Nam, chủ sở hữu quyền SHTT, và người bị cáo buộc vi phạm.</w:t>
      </w:r>
    </w:p>
    <w:p w14:paraId="78C4DB85" w14:textId="32497EA1" w:rsidR="00391C68" w:rsidRPr="00391C68" w:rsidRDefault="00391C68" w:rsidP="00391C68">
      <w:pPr>
        <w:spacing w:after="0" w:line="240" w:lineRule="auto"/>
        <w:jc w:val="both"/>
        <w:rPr>
          <w:rFonts w:ascii="Arial" w:hAnsi="Arial" w:cs="Arial"/>
          <w:iCs/>
          <w:sz w:val="20"/>
          <w:szCs w:val="20"/>
          <w:lang w:val="vi-VN"/>
        </w:rPr>
      </w:pPr>
    </w:p>
    <w:p w14:paraId="33266B3D" w14:textId="6398B667" w:rsidR="00391C68" w:rsidRPr="00391C68" w:rsidRDefault="00391C68" w:rsidP="00391C68">
      <w:pPr>
        <w:spacing w:after="0" w:line="240" w:lineRule="auto"/>
        <w:jc w:val="both"/>
        <w:rPr>
          <w:rFonts w:ascii="Arial" w:hAnsi="Arial" w:cs="Arial"/>
          <w:iCs/>
          <w:sz w:val="20"/>
          <w:szCs w:val="20"/>
          <w:lang w:val="vi-VN"/>
        </w:rPr>
      </w:pPr>
      <w:r w:rsidRPr="00391C68">
        <w:rPr>
          <w:rFonts w:ascii="Arial" w:hAnsi="Arial" w:cs="Arial"/>
          <w:iCs/>
          <w:sz w:val="20"/>
          <w:szCs w:val="20"/>
          <w:lang w:val="vi-VN"/>
        </w:rPr>
        <w:t xml:space="preserve">Tính đến tháng 4 năm 2023, Viện KHSHTT mới chỉ tiếp nhận yêu cầu giám định xâm phạm quyền SHTT liên quan đến 04 đối tượng sở hữu công nghiệp gồm: </w:t>
      </w:r>
      <w:hyperlink r:id="rId7" w:history="1">
        <w:r w:rsidRPr="00FF0A30">
          <w:rPr>
            <w:rStyle w:val="Hyperlink"/>
            <w:rFonts w:ascii="Arial" w:hAnsi="Arial" w:cs="Arial"/>
            <w:b/>
            <w:iCs/>
            <w:color w:val="ED7D31" w:themeColor="accent2"/>
            <w:sz w:val="20"/>
            <w:szCs w:val="20"/>
            <w:u w:val="none"/>
            <w:lang w:val="vi-VN"/>
          </w:rPr>
          <w:t>Sáng chế</w:t>
        </w:r>
      </w:hyperlink>
      <w:r w:rsidRPr="00FF0A30">
        <w:rPr>
          <w:rStyle w:val="Hyperlink"/>
          <w:color w:val="000000" w:themeColor="text1"/>
          <w:u w:val="none"/>
        </w:rPr>
        <w:t>,</w:t>
      </w:r>
      <w:r w:rsidRPr="00FF0A30">
        <w:rPr>
          <w:rFonts w:ascii="Arial" w:hAnsi="Arial" w:cs="Arial"/>
          <w:b/>
          <w:iCs/>
          <w:color w:val="000000" w:themeColor="text1"/>
          <w:sz w:val="20"/>
          <w:szCs w:val="20"/>
          <w:lang w:val="vi-VN"/>
        </w:rPr>
        <w:t xml:space="preserve"> </w:t>
      </w:r>
      <w:hyperlink r:id="rId8" w:history="1">
        <w:r w:rsidRPr="00FF0A30">
          <w:rPr>
            <w:rStyle w:val="Hyperlink"/>
            <w:rFonts w:ascii="Arial" w:hAnsi="Arial" w:cs="Arial"/>
            <w:b/>
            <w:iCs/>
            <w:color w:val="ED7D31" w:themeColor="accent2"/>
            <w:sz w:val="20"/>
            <w:szCs w:val="20"/>
            <w:u w:val="none"/>
            <w:lang w:val="vi-VN"/>
          </w:rPr>
          <w:t>Kiểu dáng công nghiệp</w:t>
        </w:r>
      </w:hyperlink>
      <w:r w:rsidRPr="00FF0A30">
        <w:rPr>
          <w:rStyle w:val="Hyperlink"/>
          <w:color w:val="000000" w:themeColor="text1"/>
          <w:u w:val="none"/>
        </w:rPr>
        <w:t>,</w:t>
      </w:r>
      <w:r w:rsidRPr="00FF0A30">
        <w:rPr>
          <w:rFonts w:ascii="Arial" w:hAnsi="Arial" w:cs="Arial"/>
          <w:b/>
          <w:iCs/>
          <w:color w:val="000000" w:themeColor="text1"/>
          <w:sz w:val="20"/>
          <w:szCs w:val="20"/>
          <w:lang w:val="vi-VN"/>
        </w:rPr>
        <w:t xml:space="preserve"> </w:t>
      </w:r>
      <w:hyperlink r:id="rId9" w:history="1">
        <w:r w:rsidRPr="00FF0A30">
          <w:rPr>
            <w:rStyle w:val="Hyperlink"/>
            <w:rFonts w:ascii="Arial" w:hAnsi="Arial" w:cs="Arial"/>
            <w:b/>
            <w:iCs/>
            <w:color w:val="ED7D31" w:themeColor="accent2"/>
            <w:sz w:val="20"/>
            <w:szCs w:val="20"/>
            <w:u w:val="none"/>
            <w:lang w:val="vi-VN"/>
          </w:rPr>
          <w:t>Nhãn hiệu</w:t>
        </w:r>
      </w:hyperlink>
      <w:r w:rsidRPr="00FF0A30">
        <w:rPr>
          <w:rFonts w:ascii="Arial" w:hAnsi="Arial" w:cs="Arial"/>
          <w:b/>
          <w:iCs/>
          <w:color w:val="ED7D31" w:themeColor="accent2"/>
          <w:sz w:val="20"/>
          <w:szCs w:val="20"/>
          <w:lang w:val="vi-VN"/>
        </w:rPr>
        <w:t xml:space="preserve"> </w:t>
      </w:r>
      <w:r w:rsidRPr="002D31C3">
        <w:rPr>
          <w:rFonts w:ascii="Arial" w:hAnsi="Arial" w:cs="Arial"/>
          <w:iCs/>
          <w:color w:val="000000" w:themeColor="text1"/>
          <w:sz w:val="20"/>
          <w:szCs w:val="20"/>
          <w:lang w:val="vi-VN"/>
        </w:rPr>
        <w:t>và</w:t>
      </w:r>
      <w:r w:rsidRPr="00FF0A30">
        <w:rPr>
          <w:rFonts w:ascii="Arial" w:hAnsi="Arial" w:cs="Arial"/>
          <w:b/>
          <w:iCs/>
          <w:color w:val="000000" w:themeColor="text1"/>
          <w:sz w:val="20"/>
          <w:szCs w:val="20"/>
          <w:lang w:val="vi-VN"/>
        </w:rPr>
        <w:t xml:space="preserve"> </w:t>
      </w:r>
      <w:hyperlink r:id="rId10" w:history="1">
        <w:r w:rsidRPr="00FF0A30">
          <w:rPr>
            <w:rStyle w:val="Hyperlink"/>
            <w:rFonts w:ascii="Arial" w:hAnsi="Arial" w:cs="Arial"/>
            <w:b/>
            <w:iCs/>
            <w:color w:val="ED7D31" w:themeColor="accent2"/>
            <w:sz w:val="20"/>
            <w:szCs w:val="20"/>
            <w:u w:val="none"/>
            <w:lang w:val="vi-VN"/>
          </w:rPr>
          <w:t>Chỉ dẫn địa lý</w:t>
        </w:r>
      </w:hyperlink>
      <w:r w:rsidRPr="00FF0A30">
        <w:rPr>
          <w:rStyle w:val="Hyperlink"/>
          <w:b/>
          <w:color w:val="000000" w:themeColor="text1"/>
          <w:u w:val="none"/>
        </w:rPr>
        <w:t>.</w:t>
      </w:r>
    </w:p>
    <w:p w14:paraId="63ECC89E" w14:textId="77777777" w:rsidR="00391C68" w:rsidRPr="00391C68" w:rsidRDefault="00391C68" w:rsidP="00391C68">
      <w:pPr>
        <w:spacing w:after="0" w:line="240" w:lineRule="auto"/>
        <w:jc w:val="both"/>
        <w:rPr>
          <w:rFonts w:ascii="Arial" w:hAnsi="Arial" w:cs="Arial"/>
          <w:iCs/>
          <w:sz w:val="20"/>
          <w:szCs w:val="20"/>
          <w:lang w:val="vi-VN"/>
        </w:rPr>
      </w:pPr>
      <w:bookmarkStart w:id="2" w:name="_GoBack"/>
      <w:bookmarkEnd w:id="2"/>
    </w:p>
    <w:p w14:paraId="0DD93DDA" w14:textId="5F283045" w:rsidR="00391C68" w:rsidRPr="00391C68" w:rsidRDefault="00391C68" w:rsidP="00391C68">
      <w:pPr>
        <w:spacing w:after="0" w:line="240" w:lineRule="auto"/>
        <w:jc w:val="both"/>
        <w:rPr>
          <w:rFonts w:ascii="Arial" w:hAnsi="Arial" w:cs="Arial"/>
          <w:iCs/>
          <w:sz w:val="20"/>
          <w:szCs w:val="20"/>
          <w:lang w:val="vi-VN"/>
        </w:rPr>
      </w:pPr>
      <w:r w:rsidRPr="00391C68">
        <w:rPr>
          <w:rFonts w:ascii="Arial" w:hAnsi="Arial" w:cs="Arial"/>
          <w:iCs/>
          <w:sz w:val="20"/>
          <w:szCs w:val="20"/>
          <w:lang w:val="vi-VN"/>
        </w:rPr>
        <w:t>KENFOX IP &amp; Law Office cung cấp số liệu thống kê chi tiết về ý kiến chuyên môn/kết luận giám định SHTT của Viện KHSHTT theo bảng dưới đây. Số liệu này cho thấy tầm quan trọng của Viện KHSHTT trong việc thực thi quyền SHTT và giải quyết tranh chấp tại Việt Nam. Bằng cách cung cấp hướng dẫn chuyên môn và hỗ trợ cho cả chủ sở hữu quyền SHTT và người bị cáo buộc vi phạm, Viện KHSHTT giúp cho việc thực thi quyền SHTT được thực hiện một cách công bằng và hiệu quả.</w:t>
      </w:r>
    </w:p>
    <w:p w14:paraId="62268F9D" w14:textId="77777777" w:rsidR="00391C68" w:rsidRPr="00391C68" w:rsidRDefault="00391C68" w:rsidP="00391C68">
      <w:pPr>
        <w:spacing w:after="0" w:line="240" w:lineRule="auto"/>
        <w:jc w:val="both"/>
        <w:rPr>
          <w:rFonts w:ascii="Arial" w:hAnsi="Arial" w:cs="Arial"/>
          <w:iCs/>
          <w:sz w:val="20"/>
          <w:szCs w:val="20"/>
          <w:lang w:val="vi-VN"/>
        </w:rPr>
      </w:pPr>
    </w:p>
    <w:p w14:paraId="1B497788" w14:textId="2D35AEC6" w:rsidR="00391C68" w:rsidRDefault="00391C68" w:rsidP="00391C68">
      <w:pPr>
        <w:spacing w:after="0" w:line="240" w:lineRule="auto"/>
        <w:jc w:val="both"/>
        <w:rPr>
          <w:rFonts w:ascii="Arial" w:hAnsi="Arial" w:cs="Arial"/>
          <w:iCs/>
          <w:sz w:val="20"/>
          <w:szCs w:val="20"/>
          <w:lang w:val="vi-VN"/>
        </w:rPr>
      </w:pPr>
      <w:r w:rsidRPr="00391C68">
        <w:rPr>
          <w:rFonts w:ascii="Arial" w:hAnsi="Arial" w:cs="Arial"/>
          <w:iCs/>
          <w:sz w:val="20"/>
          <w:szCs w:val="20"/>
          <w:lang w:val="vi-VN"/>
        </w:rPr>
        <w:t>Số liệu thống kê về đơn yêu cầu giám định xâm phạm quyền SHTT nộp cho Viện KHSHTT trong giai đoạn 2009-2022</w:t>
      </w:r>
    </w:p>
    <w:p w14:paraId="7F7EB22D" w14:textId="172F9F51" w:rsidR="00391C68" w:rsidRDefault="00391C68" w:rsidP="00391C68">
      <w:pPr>
        <w:spacing w:after="0" w:line="240" w:lineRule="auto"/>
        <w:jc w:val="both"/>
        <w:rPr>
          <w:rFonts w:ascii="Arial" w:hAnsi="Arial" w:cs="Arial"/>
          <w:iCs/>
          <w:sz w:val="20"/>
          <w:szCs w:val="20"/>
          <w:lang w:val="vi-VN"/>
        </w:rPr>
      </w:pPr>
    </w:p>
    <w:tbl>
      <w:tblPr>
        <w:tblStyle w:val="TableGrid"/>
        <w:tblW w:w="0" w:type="auto"/>
        <w:tblLook w:val="04A0" w:firstRow="1" w:lastRow="0" w:firstColumn="1" w:lastColumn="0" w:noHBand="0" w:noVBand="1"/>
      </w:tblPr>
      <w:tblGrid>
        <w:gridCol w:w="715"/>
        <w:gridCol w:w="1890"/>
        <w:gridCol w:w="2069"/>
        <w:gridCol w:w="1558"/>
        <w:gridCol w:w="1559"/>
        <w:gridCol w:w="1559"/>
      </w:tblGrid>
      <w:tr w:rsidR="00391C68" w:rsidRPr="00956C4E" w14:paraId="12E38827" w14:textId="77777777" w:rsidTr="00D7239E">
        <w:tc>
          <w:tcPr>
            <w:tcW w:w="715" w:type="dxa"/>
            <w:vMerge w:val="restart"/>
          </w:tcPr>
          <w:p w14:paraId="6998D597" w14:textId="77777777" w:rsidR="00391C68" w:rsidRPr="00956C4E" w:rsidRDefault="00391C68" w:rsidP="00D7239E">
            <w:pPr>
              <w:jc w:val="both"/>
              <w:rPr>
                <w:rFonts w:ascii="Arial" w:hAnsi="Arial" w:cs="Arial"/>
                <w:b/>
                <w:bCs/>
                <w:sz w:val="20"/>
                <w:szCs w:val="20"/>
                <w:lang w:val="vi-VN"/>
              </w:rPr>
            </w:pPr>
            <w:r w:rsidRPr="00956C4E">
              <w:rPr>
                <w:rFonts w:ascii="Arial" w:hAnsi="Arial" w:cs="Arial"/>
                <w:b/>
                <w:bCs/>
                <w:sz w:val="20"/>
                <w:szCs w:val="20"/>
                <w:lang w:val="vi-VN"/>
              </w:rPr>
              <w:t xml:space="preserve">Năm </w:t>
            </w:r>
          </w:p>
        </w:tc>
        <w:tc>
          <w:tcPr>
            <w:tcW w:w="7076" w:type="dxa"/>
            <w:gridSpan w:val="4"/>
          </w:tcPr>
          <w:p w14:paraId="2746FADE" w14:textId="77777777" w:rsidR="00391C68" w:rsidRPr="00956C4E" w:rsidRDefault="00391C68" w:rsidP="00D7239E">
            <w:pPr>
              <w:jc w:val="center"/>
              <w:rPr>
                <w:rFonts w:ascii="Arial" w:hAnsi="Arial" w:cs="Arial"/>
                <w:b/>
                <w:bCs/>
                <w:sz w:val="20"/>
                <w:szCs w:val="20"/>
                <w:lang w:val="vi-VN"/>
              </w:rPr>
            </w:pPr>
            <w:r w:rsidRPr="00956C4E">
              <w:rPr>
                <w:rFonts w:ascii="Arial" w:hAnsi="Arial" w:cs="Arial"/>
                <w:b/>
                <w:bCs/>
                <w:sz w:val="20"/>
                <w:szCs w:val="20"/>
                <w:lang w:val="vi-VN"/>
              </w:rPr>
              <w:t xml:space="preserve">     Đối tượng sở hữu công nghiệp </w:t>
            </w:r>
          </w:p>
        </w:tc>
        <w:tc>
          <w:tcPr>
            <w:tcW w:w="1559" w:type="dxa"/>
          </w:tcPr>
          <w:p w14:paraId="6912D789" w14:textId="77777777" w:rsidR="00391C68" w:rsidRPr="00956C4E" w:rsidRDefault="00391C68" w:rsidP="00D7239E">
            <w:pPr>
              <w:jc w:val="both"/>
              <w:rPr>
                <w:rFonts w:ascii="Arial" w:hAnsi="Arial" w:cs="Arial"/>
                <w:b/>
                <w:bCs/>
                <w:sz w:val="20"/>
                <w:szCs w:val="20"/>
                <w:lang w:val="vi-VN"/>
              </w:rPr>
            </w:pPr>
          </w:p>
        </w:tc>
      </w:tr>
      <w:tr w:rsidR="00391C68" w:rsidRPr="00956C4E" w14:paraId="005A9AA9" w14:textId="77777777" w:rsidTr="00D7239E">
        <w:tc>
          <w:tcPr>
            <w:tcW w:w="715" w:type="dxa"/>
            <w:vMerge/>
          </w:tcPr>
          <w:p w14:paraId="3DEAEA6E" w14:textId="77777777" w:rsidR="00391C68" w:rsidRPr="00956C4E" w:rsidRDefault="00391C68" w:rsidP="00D7239E">
            <w:pPr>
              <w:jc w:val="both"/>
              <w:rPr>
                <w:rFonts w:ascii="Arial" w:hAnsi="Arial" w:cs="Arial"/>
                <w:b/>
                <w:bCs/>
                <w:sz w:val="20"/>
                <w:szCs w:val="20"/>
                <w:lang w:val="vi-VN"/>
              </w:rPr>
            </w:pPr>
          </w:p>
        </w:tc>
        <w:tc>
          <w:tcPr>
            <w:tcW w:w="1890" w:type="dxa"/>
          </w:tcPr>
          <w:p w14:paraId="78304284" w14:textId="77777777" w:rsidR="00391C68" w:rsidRPr="00956C4E" w:rsidRDefault="00391C68" w:rsidP="00D7239E">
            <w:pPr>
              <w:jc w:val="center"/>
              <w:rPr>
                <w:rFonts w:ascii="Arial" w:hAnsi="Arial" w:cs="Arial"/>
                <w:b/>
                <w:bCs/>
                <w:sz w:val="20"/>
                <w:szCs w:val="20"/>
                <w:lang w:val="vi-VN"/>
              </w:rPr>
            </w:pPr>
            <w:r w:rsidRPr="00956C4E">
              <w:rPr>
                <w:rFonts w:ascii="Arial" w:hAnsi="Arial" w:cs="Arial"/>
                <w:b/>
                <w:bCs/>
                <w:sz w:val="20"/>
                <w:szCs w:val="20"/>
                <w:lang w:val="vi-VN"/>
              </w:rPr>
              <w:t>Sáng chế</w:t>
            </w:r>
          </w:p>
        </w:tc>
        <w:tc>
          <w:tcPr>
            <w:tcW w:w="2069" w:type="dxa"/>
          </w:tcPr>
          <w:p w14:paraId="6E74C9DF" w14:textId="77777777" w:rsidR="00391C68" w:rsidRPr="00956C4E" w:rsidRDefault="00391C68" w:rsidP="00D7239E">
            <w:pPr>
              <w:jc w:val="center"/>
              <w:rPr>
                <w:rFonts w:ascii="Arial" w:hAnsi="Arial" w:cs="Arial"/>
                <w:b/>
                <w:bCs/>
                <w:sz w:val="20"/>
                <w:szCs w:val="20"/>
                <w:lang w:val="vi-VN"/>
              </w:rPr>
            </w:pPr>
            <w:r w:rsidRPr="00956C4E">
              <w:rPr>
                <w:rFonts w:ascii="Arial" w:hAnsi="Arial" w:cs="Arial"/>
                <w:b/>
                <w:color w:val="000000"/>
                <w:sz w:val="20"/>
                <w:szCs w:val="20"/>
                <w:shd w:val="clear" w:color="auto" w:fill="FFFFFF"/>
                <w:lang w:val="vi-VN"/>
              </w:rPr>
              <w:t>Kiểu dáng công nghiệp</w:t>
            </w:r>
          </w:p>
        </w:tc>
        <w:tc>
          <w:tcPr>
            <w:tcW w:w="1558" w:type="dxa"/>
          </w:tcPr>
          <w:p w14:paraId="11715D09" w14:textId="77777777" w:rsidR="00391C68" w:rsidRPr="00956C4E" w:rsidRDefault="00391C68" w:rsidP="00D7239E">
            <w:pPr>
              <w:jc w:val="center"/>
              <w:rPr>
                <w:rFonts w:ascii="Arial" w:hAnsi="Arial" w:cs="Arial"/>
                <w:b/>
                <w:bCs/>
                <w:sz w:val="20"/>
                <w:szCs w:val="20"/>
                <w:lang w:val="vi-VN"/>
              </w:rPr>
            </w:pPr>
            <w:r w:rsidRPr="00956C4E">
              <w:rPr>
                <w:rFonts w:ascii="Arial" w:hAnsi="Arial" w:cs="Arial"/>
                <w:b/>
                <w:color w:val="000000"/>
                <w:sz w:val="20"/>
                <w:szCs w:val="20"/>
                <w:shd w:val="clear" w:color="auto" w:fill="FFFFFF"/>
                <w:lang w:val="vi-VN"/>
              </w:rPr>
              <w:t>Nhãn hiệu</w:t>
            </w:r>
          </w:p>
        </w:tc>
        <w:tc>
          <w:tcPr>
            <w:tcW w:w="1559" w:type="dxa"/>
          </w:tcPr>
          <w:p w14:paraId="450AE0D6" w14:textId="77777777" w:rsidR="00391C68" w:rsidRPr="00956C4E" w:rsidRDefault="00391C68" w:rsidP="00D7239E">
            <w:pPr>
              <w:jc w:val="center"/>
              <w:rPr>
                <w:rFonts w:ascii="Arial" w:hAnsi="Arial" w:cs="Arial"/>
                <w:b/>
                <w:bCs/>
                <w:sz w:val="20"/>
                <w:szCs w:val="20"/>
                <w:lang w:val="vi-VN"/>
              </w:rPr>
            </w:pPr>
            <w:r w:rsidRPr="00956C4E">
              <w:rPr>
                <w:rFonts w:ascii="Arial" w:hAnsi="Arial" w:cs="Arial"/>
                <w:b/>
                <w:color w:val="000000"/>
                <w:sz w:val="20"/>
                <w:szCs w:val="20"/>
                <w:shd w:val="clear" w:color="auto" w:fill="FFFFFF"/>
                <w:lang w:val="vi-VN"/>
              </w:rPr>
              <w:t>Chỉ dẫn địa lý</w:t>
            </w:r>
          </w:p>
        </w:tc>
        <w:tc>
          <w:tcPr>
            <w:tcW w:w="1559" w:type="dxa"/>
          </w:tcPr>
          <w:p w14:paraId="4D603EEB" w14:textId="77777777" w:rsidR="00391C68" w:rsidRPr="00956C4E" w:rsidRDefault="00391C68" w:rsidP="00D7239E">
            <w:pPr>
              <w:jc w:val="center"/>
              <w:rPr>
                <w:rFonts w:ascii="Arial" w:hAnsi="Arial" w:cs="Arial"/>
                <w:b/>
                <w:bCs/>
                <w:sz w:val="20"/>
                <w:szCs w:val="20"/>
                <w:lang w:val="vi-VN"/>
              </w:rPr>
            </w:pPr>
            <w:r w:rsidRPr="00956C4E">
              <w:rPr>
                <w:rFonts w:ascii="Arial" w:hAnsi="Arial" w:cs="Arial"/>
                <w:b/>
                <w:bCs/>
                <w:sz w:val="20"/>
                <w:szCs w:val="20"/>
                <w:lang w:val="vi-VN"/>
              </w:rPr>
              <w:t>Tổng</w:t>
            </w:r>
          </w:p>
        </w:tc>
      </w:tr>
      <w:tr w:rsidR="00391C68" w:rsidRPr="00956C4E" w14:paraId="0C7AD839" w14:textId="77777777" w:rsidTr="00D7239E">
        <w:tc>
          <w:tcPr>
            <w:tcW w:w="715" w:type="dxa"/>
          </w:tcPr>
          <w:p w14:paraId="2EEBFE57" w14:textId="77777777" w:rsidR="00391C68" w:rsidRPr="00956C4E" w:rsidRDefault="00391C68" w:rsidP="00D7239E">
            <w:pPr>
              <w:jc w:val="both"/>
              <w:rPr>
                <w:rFonts w:ascii="Arial" w:hAnsi="Arial" w:cs="Arial"/>
                <w:sz w:val="20"/>
                <w:szCs w:val="20"/>
                <w:lang w:val="vi-VN"/>
              </w:rPr>
            </w:pPr>
            <w:r w:rsidRPr="00956C4E">
              <w:rPr>
                <w:rFonts w:ascii="Arial" w:hAnsi="Arial" w:cs="Arial"/>
                <w:sz w:val="20"/>
                <w:szCs w:val="20"/>
                <w:lang w:val="vi-VN"/>
              </w:rPr>
              <w:t>2009</w:t>
            </w:r>
          </w:p>
        </w:tc>
        <w:tc>
          <w:tcPr>
            <w:tcW w:w="1890" w:type="dxa"/>
          </w:tcPr>
          <w:p w14:paraId="2E892B3F"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26</w:t>
            </w:r>
          </w:p>
        </w:tc>
        <w:tc>
          <w:tcPr>
            <w:tcW w:w="2069" w:type="dxa"/>
          </w:tcPr>
          <w:p w14:paraId="5F4CD75E"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59</w:t>
            </w:r>
          </w:p>
        </w:tc>
        <w:tc>
          <w:tcPr>
            <w:tcW w:w="1558" w:type="dxa"/>
          </w:tcPr>
          <w:p w14:paraId="21EF15EE"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107</w:t>
            </w:r>
          </w:p>
        </w:tc>
        <w:tc>
          <w:tcPr>
            <w:tcW w:w="1559" w:type="dxa"/>
          </w:tcPr>
          <w:p w14:paraId="6C290AB3"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0</w:t>
            </w:r>
          </w:p>
        </w:tc>
        <w:tc>
          <w:tcPr>
            <w:tcW w:w="1559" w:type="dxa"/>
          </w:tcPr>
          <w:p w14:paraId="7D8C5A8D"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192</w:t>
            </w:r>
          </w:p>
        </w:tc>
      </w:tr>
      <w:tr w:rsidR="00391C68" w:rsidRPr="00956C4E" w14:paraId="31C22395" w14:textId="77777777" w:rsidTr="00D7239E">
        <w:tc>
          <w:tcPr>
            <w:tcW w:w="715" w:type="dxa"/>
          </w:tcPr>
          <w:p w14:paraId="5FC5C611" w14:textId="77777777" w:rsidR="00391C68" w:rsidRPr="00956C4E" w:rsidRDefault="00391C68" w:rsidP="00D7239E">
            <w:pPr>
              <w:jc w:val="both"/>
              <w:rPr>
                <w:rFonts w:ascii="Arial" w:hAnsi="Arial" w:cs="Arial"/>
                <w:sz w:val="20"/>
                <w:szCs w:val="20"/>
                <w:lang w:val="vi-VN"/>
              </w:rPr>
            </w:pPr>
            <w:r w:rsidRPr="00956C4E">
              <w:rPr>
                <w:rFonts w:ascii="Arial" w:hAnsi="Arial" w:cs="Arial"/>
                <w:sz w:val="20"/>
                <w:szCs w:val="20"/>
                <w:lang w:val="vi-VN"/>
              </w:rPr>
              <w:t>2010</w:t>
            </w:r>
          </w:p>
        </w:tc>
        <w:tc>
          <w:tcPr>
            <w:tcW w:w="1890" w:type="dxa"/>
          </w:tcPr>
          <w:p w14:paraId="414C5F54"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24</w:t>
            </w:r>
          </w:p>
        </w:tc>
        <w:tc>
          <w:tcPr>
            <w:tcW w:w="2069" w:type="dxa"/>
          </w:tcPr>
          <w:p w14:paraId="29F1FB99"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52</w:t>
            </w:r>
          </w:p>
        </w:tc>
        <w:tc>
          <w:tcPr>
            <w:tcW w:w="1558" w:type="dxa"/>
          </w:tcPr>
          <w:p w14:paraId="434DED81"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258</w:t>
            </w:r>
          </w:p>
        </w:tc>
        <w:tc>
          <w:tcPr>
            <w:tcW w:w="1559" w:type="dxa"/>
          </w:tcPr>
          <w:p w14:paraId="1F9D4E4C"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0</w:t>
            </w:r>
          </w:p>
        </w:tc>
        <w:tc>
          <w:tcPr>
            <w:tcW w:w="1559" w:type="dxa"/>
          </w:tcPr>
          <w:p w14:paraId="70D18AAE"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334</w:t>
            </w:r>
          </w:p>
        </w:tc>
      </w:tr>
      <w:tr w:rsidR="00391C68" w:rsidRPr="00956C4E" w14:paraId="3EDC418F" w14:textId="77777777" w:rsidTr="00D7239E">
        <w:tc>
          <w:tcPr>
            <w:tcW w:w="715" w:type="dxa"/>
          </w:tcPr>
          <w:p w14:paraId="7FDBD408" w14:textId="77777777" w:rsidR="00391C68" w:rsidRPr="00956C4E" w:rsidRDefault="00391C68" w:rsidP="00D7239E">
            <w:pPr>
              <w:jc w:val="both"/>
              <w:rPr>
                <w:rFonts w:ascii="Arial" w:hAnsi="Arial" w:cs="Arial"/>
                <w:sz w:val="20"/>
                <w:szCs w:val="20"/>
                <w:lang w:val="vi-VN"/>
              </w:rPr>
            </w:pPr>
            <w:r w:rsidRPr="00956C4E">
              <w:rPr>
                <w:rFonts w:ascii="Arial" w:hAnsi="Arial" w:cs="Arial"/>
                <w:sz w:val="20"/>
                <w:szCs w:val="20"/>
                <w:lang w:val="vi-VN"/>
              </w:rPr>
              <w:t>2011</w:t>
            </w:r>
          </w:p>
        </w:tc>
        <w:tc>
          <w:tcPr>
            <w:tcW w:w="1890" w:type="dxa"/>
          </w:tcPr>
          <w:p w14:paraId="2F622CFF"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11</w:t>
            </w:r>
          </w:p>
        </w:tc>
        <w:tc>
          <w:tcPr>
            <w:tcW w:w="2069" w:type="dxa"/>
          </w:tcPr>
          <w:p w14:paraId="6464F04D"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81</w:t>
            </w:r>
          </w:p>
        </w:tc>
        <w:tc>
          <w:tcPr>
            <w:tcW w:w="1558" w:type="dxa"/>
          </w:tcPr>
          <w:p w14:paraId="0F63A69F"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305</w:t>
            </w:r>
          </w:p>
        </w:tc>
        <w:tc>
          <w:tcPr>
            <w:tcW w:w="1559" w:type="dxa"/>
          </w:tcPr>
          <w:p w14:paraId="7CFBE3C5"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0</w:t>
            </w:r>
          </w:p>
        </w:tc>
        <w:tc>
          <w:tcPr>
            <w:tcW w:w="1559" w:type="dxa"/>
          </w:tcPr>
          <w:p w14:paraId="665DFDBE"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397</w:t>
            </w:r>
          </w:p>
        </w:tc>
      </w:tr>
      <w:tr w:rsidR="00391C68" w:rsidRPr="00956C4E" w14:paraId="7CB6E8F5" w14:textId="77777777" w:rsidTr="00D7239E">
        <w:tc>
          <w:tcPr>
            <w:tcW w:w="715" w:type="dxa"/>
          </w:tcPr>
          <w:p w14:paraId="22CBD521" w14:textId="77777777" w:rsidR="00391C68" w:rsidRPr="00956C4E" w:rsidRDefault="00391C68" w:rsidP="00D7239E">
            <w:pPr>
              <w:jc w:val="both"/>
              <w:rPr>
                <w:rFonts w:ascii="Arial" w:hAnsi="Arial" w:cs="Arial"/>
                <w:sz w:val="20"/>
                <w:szCs w:val="20"/>
                <w:lang w:val="vi-VN"/>
              </w:rPr>
            </w:pPr>
            <w:r w:rsidRPr="00956C4E">
              <w:rPr>
                <w:rFonts w:ascii="Arial" w:hAnsi="Arial" w:cs="Arial"/>
                <w:sz w:val="20"/>
                <w:szCs w:val="20"/>
                <w:lang w:val="vi-VN"/>
              </w:rPr>
              <w:t>2012</w:t>
            </w:r>
          </w:p>
        </w:tc>
        <w:tc>
          <w:tcPr>
            <w:tcW w:w="1890" w:type="dxa"/>
          </w:tcPr>
          <w:p w14:paraId="00BC2617"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02</w:t>
            </w:r>
          </w:p>
        </w:tc>
        <w:tc>
          <w:tcPr>
            <w:tcW w:w="2069" w:type="dxa"/>
          </w:tcPr>
          <w:p w14:paraId="4D0DDE54"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83</w:t>
            </w:r>
          </w:p>
        </w:tc>
        <w:tc>
          <w:tcPr>
            <w:tcW w:w="1558" w:type="dxa"/>
          </w:tcPr>
          <w:p w14:paraId="2817092C"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376</w:t>
            </w:r>
          </w:p>
        </w:tc>
        <w:tc>
          <w:tcPr>
            <w:tcW w:w="1559" w:type="dxa"/>
          </w:tcPr>
          <w:p w14:paraId="16C794F5"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0</w:t>
            </w:r>
          </w:p>
        </w:tc>
        <w:tc>
          <w:tcPr>
            <w:tcW w:w="1559" w:type="dxa"/>
          </w:tcPr>
          <w:p w14:paraId="01AA48C9"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461</w:t>
            </w:r>
          </w:p>
        </w:tc>
      </w:tr>
      <w:tr w:rsidR="00391C68" w:rsidRPr="00956C4E" w14:paraId="13F01A6A" w14:textId="77777777" w:rsidTr="00D7239E">
        <w:tc>
          <w:tcPr>
            <w:tcW w:w="715" w:type="dxa"/>
          </w:tcPr>
          <w:p w14:paraId="10140A13" w14:textId="77777777" w:rsidR="00391C68" w:rsidRPr="00956C4E" w:rsidRDefault="00391C68" w:rsidP="00D7239E">
            <w:pPr>
              <w:jc w:val="both"/>
              <w:rPr>
                <w:rFonts w:ascii="Arial" w:hAnsi="Arial" w:cs="Arial"/>
                <w:sz w:val="20"/>
                <w:szCs w:val="20"/>
                <w:lang w:val="vi-VN"/>
              </w:rPr>
            </w:pPr>
            <w:r w:rsidRPr="00956C4E">
              <w:rPr>
                <w:rFonts w:ascii="Arial" w:hAnsi="Arial" w:cs="Arial"/>
                <w:sz w:val="20"/>
                <w:szCs w:val="20"/>
                <w:lang w:val="vi-VN"/>
              </w:rPr>
              <w:t>2013</w:t>
            </w:r>
          </w:p>
        </w:tc>
        <w:tc>
          <w:tcPr>
            <w:tcW w:w="1890" w:type="dxa"/>
          </w:tcPr>
          <w:p w14:paraId="6BD33EB6"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22</w:t>
            </w:r>
          </w:p>
        </w:tc>
        <w:tc>
          <w:tcPr>
            <w:tcW w:w="2069" w:type="dxa"/>
          </w:tcPr>
          <w:p w14:paraId="2219B4B8"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46</w:t>
            </w:r>
          </w:p>
        </w:tc>
        <w:tc>
          <w:tcPr>
            <w:tcW w:w="1558" w:type="dxa"/>
          </w:tcPr>
          <w:p w14:paraId="4F36C033"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388</w:t>
            </w:r>
          </w:p>
        </w:tc>
        <w:tc>
          <w:tcPr>
            <w:tcW w:w="1559" w:type="dxa"/>
          </w:tcPr>
          <w:p w14:paraId="027837B4"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0</w:t>
            </w:r>
          </w:p>
        </w:tc>
        <w:tc>
          <w:tcPr>
            <w:tcW w:w="1559" w:type="dxa"/>
          </w:tcPr>
          <w:p w14:paraId="58FD9954"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456</w:t>
            </w:r>
          </w:p>
        </w:tc>
      </w:tr>
      <w:tr w:rsidR="00391C68" w:rsidRPr="00956C4E" w14:paraId="537FC90D" w14:textId="77777777" w:rsidTr="00D7239E">
        <w:tc>
          <w:tcPr>
            <w:tcW w:w="715" w:type="dxa"/>
          </w:tcPr>
          <w:p w14:paraId="7D321864" w14:textId="77777777" w:rsidR="00391C68" w:rsidRPr="00956C4E" w:rsidRDefault="00391C68" w:rsidP="00D7239E">
            <w:pPr>
              <w:jc w:val="both"/>
              <w:rPr>
                <w:rFonts w:ascii="Arial" w:hAnsi="Arial" w:cs="Arial"/>
                <w:sz w:val="20"/>
                <w:szCs w:val="20"/>
                <w:lang w:val="vi-VN"/>
              </w:rPr>
            </w:pPr>
            <w:r w:rsidRPr="00956C4E">
              <w:rPr>
                <w:rFonts w:ascii="Arial" w:hAnsi="Arial" w:cs="Arial"/>
                <w:sz w:val="20"/>
                <w:szCs w:val="20"/>
                <w:lang w:val="vi-VN"/>
              </w:rPr>
              <w:t>2014</w:t>
            </w:r>
          </w:p>
        </w:tc>
        <w:tc>
          <w:tcPr>
            <w:tcW w:w="1890" w:type="dxa"/>
          </w:tcPr>
          <w:p w14:paraId="05DEA3E6"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11</w:t>
            </w:r>
          </w:p>
        </w:tc>
        <w:tc>
          <w:tcPr>
            <w:tcW w:w="2069" w:type="dxa"/>
          </w:tcPr>
          <w:p w14:paraId="494273DD"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84</w:t>
            </w:r>
          </w:p>
        </w:tc>
        <w:tc>
          <w:tcPr>
            <w:tcW w:w="1558" w:type="dxa"/>
          </w:tcPr>
          <w:p w14:paraId="1563BFCD"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477</w:t>
            </w:r>
          </w:p>
        </w:tc>
        <w:tc>
          <w:tcPr>
            <w:tcW w:w="1559" w:type="dxa"/>
          </w:tcPr>
          <w:p w14:paraId="2EC1DF22"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1</w:t>
            </w:r>
          </w:p>
        </w:tc>
        <w:tc>
          <w:tcPr>
            <w:tcW w:w="1559" w:type="dxa"/>
          </w:tcPr>
          <w:p w14:paraId="5E99F603"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573</w:t>
            </w:r>
          </w:p>
        </w:tc>
      </w:tr>
      <w:tr w:rsidR="00391C68" w:rsidRPr="00956C4E" w14:paraId="01A53A51" w14:textId="77777777" w:rsidTr="00D7239E">
        <w:tc>
          <w:tcPr>
            <w:tcW w:w="715" w:type="dxa"/>
          </w:tcPr>
          <w:p w14:paraId="6850CA24" w14:textId="77777777" w:rsidR="00391C68" w:rsidRPr="00956C4E" w:rsidRDefault="00391C68" w:rsidP="00D7239E">
            <w:pPr>
              <w:jc w:val="both"/>
              <w:rPr>
                <w:rFonts w:ascii="Arial" w:hAnsi="Arial" w:cs="Arial"/>
                <w:sz w:val="20"/>
                <w:szCs w:val="20"/>
                <w:lang w:val="vi-VN"/>
              </w:rPr>
            </w:pPr>
            <w:r w:rsidRPr="00956C4E">
              <w:rPr>
                <w:rFonts w:ascii="Arial" w:hAnsi="Arial" w:cs="Arial"/>
                <w:sz w:val="20"/>
                <w:szCs w:val="20"/>
                <w:lang w:val="vi-VN"/>
              </w:rPr>
              <w:t>2015</w:t>
            </w:r>
          </w:p>
        </w:tc>
        <w:tc>
          <w:tcPr>
            <w:tcW w:w="1890" w:type="dxa"/>
          </w:tcPr>
          <w:p w14:paraId="7E67BFC9"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13</w:t>
            </w:r>
          </w:p>
        </w:tc>
        <w:tc>
          <w:tcPr>
            <w:tcW w:w="2069" w:type="dxa"/>
          </w:tcPr>
          <w:p w14:paraId="6D3573C2"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99</w:t>
            </w:r>
          </w:p>
        </w:tc>
        <w:tc>
          <w:tcPr>
            <w:tcW w:w="1558" w:type="dxa"/>
          </w:tcPr>
          <w:p w14:paraId="36A6CF7D"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600</w:t>
            </w:r>
          </w:p>
        </w:tc>
        <w:tc>
          <w:tcPr>
            <w:tcW w:w="1559" w:type="dxa"/>
          </w:tcPr>
          <w:p w14:paraId="3872CB8C"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1</w:t>
            </w:r>
          </w:p>
        </w:tc>
        <w:tc>
          <w:tcPr>
            <w:tcW w:w="1559" w:type="dxa"/>
          </w:tcPr>
          <w:p w14:paraId="26F78B3C"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713</w:t>
            </w:r>
          </w:p>
        </w:tc>
      </w:tr>
      <w:tr w:rsidR="00391C68" w:rsidRPr="00956C4E" w14:paraId="0FB7F84E" w14:textId="77777777" w:rsidTr="00D7239E">
        <w:tc>
          <w:tcPr>
            <w:tcW w:w="715" w:type="dxa"/>
          </w:tcPr>
          <w:p w14:paraId="3ABAEDC6" w14:textId="77777777" w:rsidR="00391C68" w:rsidRPr="00956C4E" w:rsidRDefault="00391C68" w:rsidP="00D7239E">
            <w:pPr>
              <w:jc w:val="both"/>
              <w:rPr>
                <w:rFonts w:ascii="Arial" w:hAnsi="Arial" w:cs="Arial"/>
                <w:sz w:val="20"/>
                <w:szCs w:val="20"/>
                <w:lang w:val="vi-VN"/>
              </w:rPr>
            </w:pPr>
            <w:r w:rsidRPr="00956C4E">
              <w:rPr>
                <w:rFonts w:ascii="Arial" w:hAnsi="Arial" w:cs="Arial"/>
                <w:sz w:val="20"/>
                <w:szCs w:val="20"/>
                <w:lang w:val="vi-VN"/>
              </w:rPr>
              <w:t>2016</w:t>
            </w:r>
          </w:p>
        </w:tc>
        <w:tc>
          <w:tcPr>
            <w:tcW w:w="1890" w:type="dxa"/>
          </w:tcPr>
          <w:p w14:paraId="30408F30"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21</w:t>
            </w:r>
          </w:p>
        </w:tc>
        <w:tc>
          <w:tcPr>
            <w:tcW w:w="2069" w:type="dxa"/>
          </w:tcPr>
          <w:p w14:paraId="37C1E39A"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117</w:t>
            </w:r>
          </w:p>
        </w:tc>
        <w:tc>
          <w:tcPr>
            <w:tcW w:w="1558" w:type="dxa"/>
          </w:tcPr>
          <w:p w14:paraId="24456982"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565</w:t>
            </w:r>
          </w:p>
        </w:tc>
        <w:tc>
          <w:tcPr>
            <w:tcW w:w="1559" w:type="dxa"/>
          </w:tcPr>
          <w:p w14:paraId="15ED5C8C"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0</w:t>
            </w:r>
          </w:p>
        </w:tc>
        <w:tc>
          <w:tcPr>
            <w:tcW w:w="1559" w:type="dxa"/>
          </w:tcPr>
          <w:p w14:paraId="4E0422CD"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703</w:t>
            </w:r>
          </w:p>
        </w:tc>
      </w:tr>
      <w:tr w:rsidR="00391C68" w:rsidRPr="00956C4E" w14:paraId="3605BD8E" w14:textId="77777777" w:rsidTr="00D7239E">
        <w:tc>
          <w:tcPr>
            <w:tcW w:w="715" w:type="dxa"/>
          </w:tcPr>
          <w:p w14:paraId="1FBD760B" w14:textId="77777777" w:rsidR="00391C68" w:rsidRPr="00956C4E" w:rsidRDefault="00391C68" w:rsidP="00D7239E">
            <w:pPr>
              <w:jc w:val="both"/>
              <w:rPr>
                <w:rFonts w:ascii="Arial" w:hAnsi="Arial" w:cs="Arial"/>
                <w:sz w:val="20"/>
                <w:szCs w:val="20"/>
                <w:lang w:val="vi-VN"/>
              </w:rPr>
            </w:pPr>
            <w:r w:rsidRPr="00956C4E">
              <w:rPr>
                <w:rFonts w:ascii="Arial" w:hAnsi="Arial" w:cs="Arial"/>
                <w:sz w:val="20"/>
                <w:szCs w:val="20"/>
                <w:lang w:val="vi-VN"/>
              </w:rPr>
              <w:t>2017</w:t>
            </w:r>
          </w:p>
        </w:tc>
        <w:tc>
          <w:tcPr>
            <w:tcW w:w="1890" w:type="dxa"/>
          </w:tcPr>
          <w:p w14:paraId="42665631"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30</w:t>
            </w:r>
          </w:p>
        </w:tc>
        <w:tc>
          <w:tcPr>
            <w:tcW w:w="2069" w:type="dxa"/>
          </w:tcPr>
          <w:p w14:paraId="6B05799A"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147</w:t>
            </w:r>
          </w:p>
        </w:tc>
        <w:tc>
          <w:tcPr>
            <w:tcW w:w="1558" w:type="dxa"/>
          </w:tcPr>
          <w:p w14:paraId="4C17070D"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632</w:t>
            </w:r>
          </w:p>
        </w:tc>
        <w:tc>
          <w:tcPr>
            <w:tcW w:w="1559" w:type="dxa"/>
          </w:tcPr>
          <w:p w14:paraId="2A764C2D"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2</w:t>
            </w:r>
          </w:p>
        </w:tc>
        <w:tc>
          <w:tcPr>
            <w:tcW w:w="1559" w:type="dxa"/>
          </w:tcPr>
          <w:p w14:paraId="175514A5"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811</w:t>
            </w:r>
          </w:p>
        </w:tc>
      </w:tr>
      <w:tr w:rsidR="00391C68" w:rsidRPr="00956C4E" w14:paraId="62932DB9" w14:textId="77777777" w:rsidTr="00D7239E">
        <w:tc>
          <w:tcPr>
            <w:tcW w:w="715" w:type="dxa"/>
          </w:tcPr>
          <w:p w14:paraId="1545D298" w14:textId="77777777" w:rsidR="00391C68" w:rsidRPr="00956C4E" w:rsidRDefault="00391C68" w:rsidP="00D7239E">
            <w:pPr>
              <w:jc w:val="both"/>
              <w:rPr>
                <w:rFonts w:ascii="Arial" w:hAnsi="Arial" w:cs="Arial"/>
                <w:sz w:val="20"/>
                <w:szCs w:val="20"/>
                <w:lang w:val="vi-VN"/>
              </w:rPr>
            </w:pPr>
            <w:r w:rsidRPr="00956C4E">
              <w:rPr>
                <w:rFonts w:ascii="Arial" w:hAnsi="Arial" w:cs="Arial"/>
                <w:sz w:val="20"/>
                <w:szCs w:val="20"/>
                <w:lang w:val="vi-VN"/>
              </w:rPr>
              <w:t>2018</w:t>
            </w:r>
          </w:p>
        </w:tc>
        <w:tc>
          <w:tcPr>
            <w:tcW w:w="1890" w:type="dxa"/>
          </w:tcPr>
          <w:p w14:paraId="32ACDB2D"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28</w:t>
            </w:r>
          </w:p>
        </w:tc>
        <w:tc>
          <w:tcPr>
            <w:tcW w:w="2069" w:type="dxa"/>
          </w:tcPr>
          <w:p w14:paraId="2C610B8A"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112</w:t>
            </w:r>
          </w:p>
        </w:tc>
        <w:tc>
          <w:tcPr>
            <w:tcW w:w="1558" w:type="dxa"/>
          </w:tcPr>
          <w:p w14:paraId="22047DD5"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687</w:t>
            </w:r>
          </w:p>
        </w:tc>
        <w:tc>
          <w:tcPr>
            <w:tcW w:w="1559" w:type="dxa"/>
          </w:tcPr>
          <w:p w14:paraId="215C1FE9"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0</w:t>
            </w:r>
          </w:p>
        </w:tc>
        <w:tc>
          <w:tcPr>
            <w:tcW w:w="1559" w:type="dxa"/>
          </w:tcPr>
          <w:p w14:paraId="6640E4B7"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827</w:t>
            </w:r>
          </w:p>
        </w:tc>
      </w:tr>
      <w:tr w:rsidR="00391C68" w:rsidRPr="00956C4E" w14:paraId="10FC9738" w14:textId="77777777" w:rsidTr="00D7239E">
        <w:tc>
          <w:tcPr>
            <w:tcW w:w="715" w:type="dxa"/>
          </w:tcPr>
          <w:p w14:paraId="434E0BF7" w14:textId="77777777" w:rsidR="00391C68" w:rsidRPr="00956C4E" w:rsidRDefault="00391C68" w:rsidP="00D7239E">
            <w:pPr>
              <w:jc w:val="both"/>
              <w:rPr>
                <w:rFonts w:ascii="Arial" w:hAnsi="Arial" w:cs="Arial"/>
                <w:sz w:val="20"/>
                <w:szCs w:val="20"/>
                <w:lang w:val="vi-VN"/>
              </w:rPr>
            </w:pPr>
            <w:r w:rsidRPr="00956C4E">
              <w:rPr>
                <w:rFonts w:ascii="Arial" w:hAnsi="Arial" w:cs="Arial"/>
                <w:sz w:val="20"/>
                <w:szCs w:val="20"/>
                <w:lang w:val="vi-VN"/>
              </w:rPr>
              <w:t>2019</w:t>
            </w:r>
          </w:p>
        </w:tc>
        <w:tc>
          <w:tcPr>
            <w:tcW w:w="1890" w:type="dxa"/>
          </w:tcPr>
          <w:p w14:paraId="242DE2F1"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23</w:t>
            </w:r>
          </w:p>
        </w:tc>
        <w:tc>
          <w:tcPr>
            <w:tcW w:w="2069" w:type="dxa"/>
          </w:tcPr>
          <w:p w14:paraId="0F67F3B9"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111</w:t>
            </w:r>
          </w:p>
        </w:tc>
        <w:tc>
          <w:tcPr>
            <w:tcW w:w="1558" w:type="dxa"/>
          </w:tcPr>
          <w:p w14:paraId="21FDAE37"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884</w:t>
            </w:r>
          </w:p>
        </w:tc>
        <w:tc>
          <w:tcPr>
            <w:tcW w:w="1559" w:type="dxa"/>
          </w:tcPr>
          <w:p w14:paraId="1C113BB0"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0</w:t>
            </w:r>
          </w:p>
        </w:tc>
        <w:tc>
          <w:tcPr>
            <w:tcW w:w="1559" w:type="dxa"/>
          </w:tcPr>
          <w:p w14:paraId="5C2BA242"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1018</w:t>
            </w:r>
          </w:p>
        </w:tc>
      </w:tr>
      <w:tr w:rsidR="00391C68" w:rsidRPr="00956C4E" w14:paraId="3A84B92B" w14:textId="77777777" w:rsidTr="00D7239E">
        <w:tc>
          <w:tcPr>
            <w:tcW w:w="715" w:type="dxa"/>
          </w:tcPr>
          <w:p w14:paraId="4541FFA2" w14:textId="77777777" w:rsidR="00391C68" w:rsidRPr="00956C4E" w:rsidRDefault="00391C68" w:rsidP="00D7239E">
            <w:pPr>
              <w:jc w:val="both"/>
              <w:rPr>
                <w:rFonts w:ascii="Arial" w:hAnsi="Arial" w:cs="Arial"/>
                <w:sz w:val="20"/>
                <w:szCs w:val="20"/>
                <w:lang w:val="vi-VN"/>
              </w:rPr>
            </w:pPr>
            <w:r w:rsidRPr="00956C4E">
              <w:rPr>
                <w:rFonts w:ascii="Arial" w:hAnsi="Arial" w:cs="Arial"/>
                <w:sz w:val="20"/>
                <w:szCs w:val="20"/>
                <w:lang w:val="vi-VN"/>
              </w:rPr>
              <w:t>2020</w:t>
            </w:r>
          </w:p>
        </w:tc>
        <w:tc>
          <w:tcPr>
            <w:tcW w:w="1890" w:type="dxa"/>
          </w:tcPr>
          <w:p w14:paraId="0FF8BDD9"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48</w:t>
            </w:r>
          </w:p>
        </w:tc>
        <w:tc>
          <w:tcPr>
            <w:tcW w:w="2069" w:type="dxa"/>
          </w:tcPr>
          <w:p w14:paraId="5497F90F"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140</w:t>
            </w:r>
          </w:p>
        </w:tc>
        <w:tc>
          <w:tcPr>
            <w:tcW w:w="1558" w:type="dxa"/>
          </w:tcPr>
          <w:p w14:paraId="653A9C5F"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904</w:t>
            </w:r>
          </w:p>
        </w:tc>
        <w:tc>
          <w:tcPr>
            <w:tcW w:w="1559" w:type="dxa"/>
          </w:tcPr>
          <w:p w14:paraId="148DE63F"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2</w:t>
            </w:r>
          </w:p>
        </w:tc>
        <w:tc>
          <w:tcPr>
            <w:tcW w:w="1559" w:type="dxa"/>
          </w:tcPr>
          <w:p w14:paraId="22C6AA6C"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1094</w:t>
            </w:r>
          </w:p>
        </w:tc>
      </w:tr>
      <w:tr w:rsidR="00391C68" w:rsidRPr="00956C4E" w14:paraId="225D4258" w14:textId="77777777" w:rsidTr="00D7239E">
        <w:tc>
          <w:tcPr>
            <w:tcW w:w="715" w:type="dxa"/>
          </w:tcPr>
          <w:p w14:paraId="10C0687C" w14:textId="77777777" w:rsidR="00391C68" w:rsidRPr="00956C4E" w:rsidRDefault="00391C68" w:rsidP="00D7239E">
            <w:pPr>
              <w:jc w:val="both"/>
              <w:rPr>
                <w:rFonts w:ascii="Arial" w:hAnsi="Arial" w:cs="Arial"/>
                <w:sz w:val="20"/>
                <w:szCs w:val="20"/>
                <w:lang w:val="vi-VN"/>
              </w:rPr>
            </w:pPr>
            <w:r w:rsidRPr="00956C4E">
              <w:rPr>
                <w:rFonts w:ascii="Arial" w:hAnsi="Arial" w:cs="Arial"/>
                <w:sz w:val="20"/>
                <w:szCs w:val="20"/>
                <w:lang w:val="vi-VN"/>
              </w:rPr>
              <w:t>2021</w:t>
            </w:r>
          </w:p>
        </w:tc>
        <w:tc>
          <w:tcPr>
            <w:tcW w:w="1890" w:type="dxa"/>
          </w:tcPr>
          <w:p w14:paraId="407529EC"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13</w:t>
            </w:r>
          </w:p>
        </w:tc>
        <w:tc>
          <w:tcPr>
            <w:tcW w:w="2069" w:type="dxa"/>
          </w:tcPr>
          <w:p w14:paraId="69D62A82"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110</w:t>
            </w:r>
          </w:p>
        </w:tc>
        <w:tc>
          <w:tcPr>
            <w:tcW w:w="1558" w:type="dxa"/>
          </w:tcPr>
          <w:p w14:paraId="5829AD05"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938</w:t>
            </w:r>
          </w:p>
        </w:tc>
        <w:tc>
          <w:tcPr>
            <w:tcW w:w="1559" w:type="dxa"/>
          </w:tcPr>
          <w:p w14:paraId="51DF72F4"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0</w:t>
            </w:r>
          </w:p>
        </w:tc>
        <w:tc>
          <w:tcPr>
            <w:tcW w:w="1559" w:type="dxa"/>
          </w:tcPr>
          <w:p w14:paraId="0449E831"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1064</w:t>
            </w:r>
          </w:p>
        </w:tc>
      </w:tr>
      <w:tr w:rsidR="00391C68" w:rsidRPr="00956C4E" w14:paraId="1A21EDC3" w14:textId="77777777" w:rsidTr="00D7239E">
        <w:tc>
          <w:tcPr>
            <w:tcW w:w="715" w:type="dxa"/>
          </w:tcPr>
          <w:p w14:paraId="6EC6F9B1" w14:textId="77777777" w:rsidR="00391C68" w:rsidRPr="00956C4E" w:rsidRDefault="00391C68" w:rsidP="00D7239E">
            <w:pPr>
              <w:jc w:val="both"/>
              <w:rPr>
                <w:rFonts w:ascii="Arial" w:hAnsi="Arial" w:cs="Arial"/>
                <w:sz w:val="20"/>
                <w:szCs w:val="20"/>
                <w:lang w:val="vi-VN"/>
              </w:rPr>
            </w:pPr>
            <w:r w:rsidRPr="00956C4E">
              <w:rPr>
                <w:rFonts w:ascii="Arial" w:hAnsi="Arial" w:cs="Arial"/>
                <w:sz w:val="20"/>
                <w:szCs w:val="20"/>
                <w:lang w:val="vi-VN"/>
              </w:rPr>
              <w:t>2022</w:t>
            </w:r>
          </w:p>
        </w:tc>
        <w:tc>
          <w:tcPr>
            <w:tcW w:w="1890" w:type="dxa"/>
          </w:tcPr>
          <w:p w14:paraId="6265DF54"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22</w:t>
            </w:r>
          </w:p>
        </w:tc>
        <w:tc>
          <w:tcPr>
            <w:tcW w:w="2069" w:type="dxa"/>
          </w:tcPr>
          <w:p w14:paraId="7935863C"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129</w:t>
            </w:r>
          </w:p>
        </w:tc>
        <w:tc>
          <w:tcPr>
            <w:tcW w:w="1558" w:type="dxa"/>
          </w:tcPr>
          <w:p w14:paraId="156B9B25"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826</w:t>
            </w:r>
          </w:p>
        </w:tc>
        <w:tc>
          <w:tcPr>
            <w:tcW w:w="1559" w:type="dxa"/>
          </w:tcPr>
          <w:p w14:paraId="5C2B8AEB"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2</w:t>
            </w:r>
          </w:p>
        </w:tc>
        <w:tc>
          <w:tcPr>
            <w:tcW w:w="1559" w:type="dxa"/>
          </w:tcPr>
          <w:p w14:paraId="0D7D4738"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980</w:t>
            </w:r>
          </w:p>
        </w:tc>
      </w:tr>
      <w:tr w:rsidR="00391C68" w:rsidRPr="00956C4E" w14:paraId="3BED9F4C" w14:textId="77777777" w:rsidTr="00D7239E">
        <w:tc>
          <w:tcPr>
            <w:tcW w:w="715" w:type="dxa"/>
          </w:tcPr>
          <w:p w14:paraId="22AB1115" w14:textId="77777777" w:rsidR="00391C68" w:rsidRPr="00956C4E" w:rsidRDefault="00391C68" w:rsidP="00D7239E">
            <w:pPr>
              <w:jc w:val="both"/>
              <w:rPr>
                <w:rFonts w:ascii="Arial" w:hAnsi="Arial" w:cs="Arial"/>
                <w:b/>
                <w:bCs/>
                <w:sz w:val="20"/>
                <w:szCs w:val="20"/>
              </w:rPr>
            </w:pPr>
            <w:r w:rsidRPr="00956C4E">
              <w:rPr>
                <w:rFonts w:ascii="Arial" w:hAnsi="Arial" w:cs="Arial"/>
                <w:b/>
                <w:bCs/>
                <w:sz w:val="20"/>
                <w:szCs w:val="20"/>
                <w:lang w:val="vi-VN"/>
              </w:rPr>
              <w:t>T</w:t>
            </w:r>
            <w:proofErr w:type="spellStart"/>
            <w:r>
              <w:rPr>
                <w:rFonts w:ascii="Arial" w:hAnsi="Arial" w:cs="Arial"/>
                <w:b/>
                <w:bCs/>
                <w:sz w:val="20"/>
                <w:szCs w:val="20"/>
              </w:rPr>
              <w:t>ổng</w:t>
            </w:r>
            <w:proofErr w:type="spellEnd"/>
          </w:p>
        </w:tc>
        <w:tc>
          <w:tcPr>
            <w:tcW w:w="1890" w:type="dxa"/>
          </w:tcPr>
          <w:p w14:paraId="17BB11CC"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298</w:t>
            </w:r>
          </w:p>
        </w:tc>
        <w:tc>
          <w:tcPr>
            <w:tcW w:w="2069" w:type="dxa"/>
          </w:tcPr>
          <w:p w14:paraId="7EA6774D"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1370</w:t>
            </w:r>
          </w:p>
        </w:tc>
        <w:tc>
          <w:tcPr>
            <w:tcW w:w="1558" w:type="dxa"/>
          </w:tcPr>
          <w:p w14:paraId="533BCE04"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7947</w:t>
            </w:r>
          </w:p>
        </w:tc>
        <w:tc>
          <w:tcPr>
            <w:tcW w:w="1559" w:type="dxa"/>
          </w:tcPr>
          <w:p w14:paraId="385B51D6"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8</w:t>
            </w:r>
          </w:p>
        </w:tc>
        <w:tc>
          <w:tcPr>
            <w:tcW w:w="1559" w:type="dxa"/>
          </w:tcPr>
          <w:p w14:paraId="225F452D" w14:textId="77777777" w:rsidR="00391C68" w:rsidRPr="00956C4E" w:rsidRDefault="00391C68" w:rsidP="00D7239E">
            <w:pPr>
              <w:jc w:val="center"/>
              <w:rPr>
                <w:rFonts w:ascii="Arial" w:hAnsi="Arial" w:cs="Arial"/>
                <w:sz w:val="20"/>
                <w:szCs w:val="20"/>
                <w:lang w:val="vi-VN"/>
              </w:rPr>
            </w:pPr>
            <w:r w:rsidRPr="00956C4E">
              <w:rPr>
                <w:rFonts w:ascii="Arial" w:hAnsi="Arial" w:cs="Arial"/>
                <w:sz w:val="20"/>
                <w:szCs w:val="20"/>
                <w:lang w:val="vi-VN"/>
              </w:rPr>
              <w:t>9623</w:t>
            </w:r>
          </w:p>
        </w:tc>
      </w:tr>
    </w:tbl>
    <w:p w14:paraId="2CC04022" w14:textId="77777777" w:rsidR="00526BE5" w:rsidRDefault="00526BE5" w:rsidP="00526BE5">
      <w:pPr>
        <w:spacing w:after="0" w:line="240" w:lineRule="auto"/>
        <w:jc w:val="both"/>
        <w:rPr>
          <w:rFonts w:ascii="Arial" w:hAnsi="Arial" w:cs="Arial"/>
          <w:iCs/>
          <w:sz w:val="20"/>
          <w:szCs w:val="20"/>
          <w:lang w:val="vi-VN"/>
        </w:rPr>
      </w:pPr>
    </w:p>
    <w:p w14:paraId="3023E0D3" w14:textId="5691A6FE" w:rsidR="00526BE5" w:rsidRPr="00DC1D7A" w:rsidRDefault="00526BE5" w:rsidP="00526BE5">
      <w:pPr>
        <w:spacing w:after="0" w:line="240" w:lineRule="auto"/>
        <w:jc w:val="both"/>
        <w:rPr>
          <w:rFonts w:ascii="Arial" w:hAnsi="Arial" w:cs="Arial"/>
          <w:b/>
          <w:iCs/>
          <w:sz w:val="20"/>
          <w:szCs w:val="20"/>
          <w:lang w:val="vi-VN"/>
        </w:rPr>
      </w:pPr>
      <w:r w:rsidRPr="00DC1D7A">
        <w:rPr>
          <w:rFonts w:ascii="Arial" w:hAnsi="Arial" w:cs="Arial"/>
          <w:b/>
          <w:iCs/>
          <w:sz w:val="20"/>
          <w:szCs w:val="20"/>
          <w:lang w:val="vi-VN"/>
        </w:rPr>
        <w:t>Ý nghĩa</w:t>
      </w:r>
    </w:p>
    <w:p w14:paraId="6B74C708" w14:textId="77777777" w:rsidR="00526BE5" w:rsidRPr="00526BE5" w:rsidRDefault="00526BE5" w:rsidP="00526BE5">
      <w:pPr>
        <w:spacing w:after="0" w:line="240" w:lineRule="auto"/>
        <w:jc w:val="both"/>
        <w:rPr>
          <w:rFonts w:ascii="Arial" w:hAnsi="Arial" w:cs="Arial"/>
          <w:iCs/>
          <w:sz w:val="20"/>
          <w:szCs w:val="20"/>
          <w:lang w:val="vi-VN"/>
        </w:rPr>
      </w:pPr>
    </w:p>
    <w:p w14:paraId="7A046993" w14:textId="77777777" w:rsidR="00526BE5" w:rsidRPr="00FF0A30" w:rsidRDefault="00526BE5" w:rsidP="00526BE5">
      <w:pPr>
        <w:spacing w:after="0" w:line="240" w:lineRule="auto"/>
        <w:jc w:val="both"/>
        <w:rPr>
          <w:rFonts w:ascii="Arial" w:hAnsi="Arial" w:cs="Arial"/>
          <w:b/>
          <w:iCs/>
          <w:color w:val="0000FF"/>
          <w:sz w:val="20"/>
          <w:szCs w:val="20"/>
        </w:rPr>
      </w:pPr>
      <w:r w:rsidRPr="00FF0A30">
        <w:rPr>
          <w:rFonts w:ascii="Arial" w:hAnsi="Arial" w:cs="Arial"/>
          <w:b/>
          <w:iCs/>
          <w:color w:val="0000FF"/>
          <w:sz w:val="20"/>
          <w:szCs w:val="20"/>
          <w:lang w:val="vi-VN"/>
        </w:rPr>
        <w:t>Kết luận giám định - nguồn ý kiến chuyên môn và hướng dẫn trung lập và đáng tin cậy về các vấn đề SHTT</w:t>
      </w:r>
    </w:p>
    <w:p w14:paraId="16532D5B" w14:textId="77777777" w:rsidR="00526BE5" w:rsidRPr="00526BE5" w:rsidRDefault="00526BE5" w:rsidP="00526BE5">
      <w:pPr>
        <w:spacing w:after="0" w:line="240" w:lineRule="auto"/>
        <w:jc w:val="both"/>
        <w:rPr>
          <w:rFonts w:ascii="Arial" w:hAnsi="Arial" w:cs="Arial"/>
          <w:iCs/>
          <w:sz w:val="20"/>
          <w:szCs w:val="20"/>
          <w:lang w:val="vi-VN"/>
        </w:rPr>
      </w:pPr>
    </w:p>
    <w:p w14:paraId="0FFFC6C4" w14:textId="77777777" w:rsidR="00526BE5" w:rsidRPr="00526BE5" w:rsidRDefault="00526BE5" w:rsidP="00526BE5">
      <w:pPr>
        <w:spacing w:after="0" w:line="240" w:lineRule="auto"/>
        <w:jc w:val="both"/>
        <w:rPr>
          <w:rFonts w:ascii="Arial" w:hAnsi="Arial" w:cs="Arial"/>
          <w:iCs/>
          <w:sz w:val="20"/>
          <w:szCs w:val="20"/>
          <w:lang w:val="vi-VN"/>
        </w:rPr>
      </w:pPr>
      <w:r w:rsidRPr="00526BE5">
        <w:rPr>
          <w:rFonts w:ascii="Arial" w:hAnsi="Arial" w:cs="Arial"/>
          <w:iCs/>
          <w:sz w:val="20"/>
          <w:szCs w:val="20"/>
          <w:lang w:val="vi-VN"/>
        </w:rPr>
        <w:t xml:space="preserve">Những số liệu thống kê này cho thấy Viện KHSHTT đóng vai trò quan trọng trong việc thực thi và giải quyết tranh chấp quyền SHTT tại Việt Nam, đặc biệt liên quan đến nhãn hiệu và kiểu dáng công nghiệp. Việc cả chủ sở hữu quyền SHTT và người bị cáo buộc vi phạm sử dụng dịch vụ giám định của Viện KHSHTT cho thấy ý kiến chuyên môn/kết luận giám định của Viện KHSHTT có thể được xem là nguồn tài liệu/chứng cứ có tính trung lập và đáng tin cậy về các vấn đề SHTT tại Việt Nam.    </w:t>
      </w:r>
    </w:p>
    <w:p w14:paraId="62790459" w14:textId="77777777" w:rsidR="00526BE5" w:rsidRPr="00526BE5" w:rsidRDefault="00526BE5" w:rsidP="00526BE5">
      <w:pPr>
        <w:spacing w:after="0" w:line="240" w:lineRule="auto"/>
        <w:jc w:val="both"/>
        <w:rPr>
          <w:rFonts w:ascii="Arial" w:hAnsi="Arial" w:cs="Arial"/>
          <w:iCs/>
          <w:sz w:val="20"/>
          <w:szCs w:val="20"/>
          <w:lang w:val="vi-VN"/>
        </w:rPr>
      </w:pPr>
    </w:p>
    <w:p w14:paraId="57A8BE8B" w14:textId="2D44059A" w:rsidR="00526BE5" w:rsidRPr="00526BE5" w:rsidRDefault="00526BE5" w:rsidP="00526BE5">
      <w:pPr>
        <w:spacing w:after="0" w:line="240" w:lineRule="auto"/>
        <w:jc w:val="both"/>
        <w:rPr>
          <w:rFonts w:ascii="Arial" w:hAnsi="Arial" w:cs="Arial"/>
          <w:iCs/>
          <w:sz w:val="20"/>
          <w:szCs w:val="20"/>
          <w:lang w:val="vi-VN"/>
        </w:rPr>
      </w:pPr>
      <w:r w:rsidRPr="00526BE5">
        <w:rPr>
          <w:rFonts w:ascii="Arial" w:hAnsi="Arial" w:cs="Arial"/>
          <w:iCs/>
          <w:sz w:val="20"/>
          <w:szCs w:val="20"/>
          <w:lang w:val="vi-VN"/>
        </w:rPr>
        <w:t xml:space="preserve">Trong bối cảnh mà các chấp quyền SHTT ngày càng phức tạp và hầu hết các </w:t>
      </w:r>
      <w:hyperlink r:id="rId11" w:history="1">
        <w:r w:rsidR="00EB55DA" w:rsidRPr="00D73780">
          <w:rPr>
            <w:rStyle w:val="Hyperlink"/>
            <w:rFonts w:ascii="Arial" w:hAnsi="Arial" w:cs="Arial"/>
            <w:b/>
            <w:color w:val="ED7D31" w:themeColor="accent2"/>
            <w:sz w:val="20"/>
            <w:szCs w:val="20"/>
            <w:u w:val="none"/>
            <w:shd w:val="clear" w:color="auto" w:fill="FFFFFF"/>
            <w:lang w:val="vi-VN"/>
          </w:rPr>
          <w:t xml:space="preserve">cơ quan thực thi quyền </w:t>
        </w:r>
        <w:r w:rsidR="00EB55DA" w:rsidRPr="00D73780">
          <w:rPr>
            <w:rStyle w:val="Hyperlink"/>
            <w:rFonts w:ascii="Arial" w:hAnsi="Arial" w:cs="Arial"/>
            <w:b/>
            <w:color w:val="ED7D31" w:themeColor="accent2"/>
            <w:sz w:val="20"/>
            <w:szCs w:val="20"/>
            <w:u w:val="none"/>
            <w:shd w:val="clear" w:color="auto" w:fill="FFFFFF"/>
          </w:rPr>
          <w:t>SHTT</w:t>
        </w:r>
      </w:hyperlink>
      <w:r w:rsidR="00EB55DA" w:rsidRPr="00D73780">
        <w:rPr>
          <w:rFonts w:ascii="Arial" w:hAnsi="Arial" w:cs="Arial"/>
          <w:color w:val="ED7D31" w:themeColor="accent2"/>
          <w:sz w:val="20"/>
          <w:szCs w:val="20"/>
          <w:shd w:val="clear" w:color="auto" w:fill="FFFFFF"/>
          <w:lang w:val="vi-VN"/>
        </w:rPr>
        <w:t xml:space="preserve"> </w:t>
      </w:r>
      <w:r w:rsidRPr="00526BE5">
        <w:rPr>
          <w:rFonts w:ascii="Arial" w:hAnsi="Arial" w:cs="Arial"/>
          <w:iCs/>
          <w:sz w:val="20"/>
          <w:szCs w:val="20"/>
          <w:lang w:val="vi-VN"/>
        </w:rPr>
        <w:t xml:space="preserve">ở Việt Nam đều yêu cầu ý kiến chuyên môn từ bên thứ ba độc lập, vai trò của Viện KHSHTT trong việc thực thi quyền SHTT và giải quyết tranh chấp là đặc biệt quan trọng. Khi các doanh nghiệp ngày càng dựa vào tài sản SHTT của họ để thúc đẩy đổi mới và tăng trưởng, việc thực thi và bảo vệ quyền SHTT hiệu quả trở nên </w:t>
      </w:r>
      <w:r w:rsidR="008F3B14" w:rsidRPr="008333BF">
        <w:rPr>
          <w:rFonts w:ascii="Arial" w:hAnsi="Arial" w:cs="Arial"/>
          <w:b/>
          <w:bCs/>
          <w:noProof/>
          <w:color w:val="C00000"/>
          <w:sz w:val="24"/>
          <w:szCs w:val="24"/>
          <w:lang w:val="vi-VN" w:eastAsia="ko-KR"/>
        </w:rPr>
        <w:lastRenderedPageBreak/>
        <mc:AlternateContent>
          <mc:Choice Requires="wps">
            <w:drawing>
              <wp:anchor distT="0" distB="0" distL="114300" distR="114300" simplePos="0" relativeHeight="251667456" behindDoc="0" locked="0" layoutInCell="1" allowOverlap="1" wp14:anchorId="2A14E137" wp14:editId="34D14C91">
                <wp:simplePos x="0" y="0"/>
                <wp:positionH relativeFrom="column">
                  <wp:posOffset>6423660</wp:posOffset>
                </wp:positionH>
                <wp:positionV relativeFrom="paragraph">
                  <wp:posOffset>-358140</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9B1A35" w14:textId="77777777" w:rsidR="008F3B14" w:rsidRPr="00BA68B8" w:rsidRDefault="008F3B14" w:rsidP="008F3B14">
                            <w:pPr>
                              <w:spacing w:after="0" w:line="240" w:lineRule="auto"/>
                              <w:rPr>
                                <w:rFonts w:ascii="Arial" w:hAnsi="Arial" w:cs="Arial"/>
                                <w:b/>
                                <w:color w:val="FFFFFF" w:themeColor="background1"/>
                                <w:sz w:val="20"/>
                                <w:szCs w:val="20"/>
                              </w:rPr>
                            </w:pPr>
                            <w:r w:rsidRPr="00CE5541">
                              <w:rPr>
                                <w:rFonts w:ascii="Arial" w:hAnsi="Arial" w:cs="Arial"/>
                                <w:b/>
                                <w:bCs/>
                                <w:color w:val="FFFFFF" w:themeColor="background1"/>
                                <w:sz w:val="20"/>
                                <w:szCs w:val="20"/>
                                <w:lang w:val="vi-VN"/>
                              </w:rPr>
                              <w:t>Giám định IP và giải quyết tranh chấp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4E137" id="Rectangle 1" o:spid="_x0000_s1028" style="position:absolute;left:0;text-align:left;margin-left:505.8pt;margin-top:-28.2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" fillcolor="#00b39c" strokecolor="#00b39c" strokeweight="0">
                <v:textbox style="layout-flow:vertical">
                  <w:txbxContent>
                    <w:p w14:paraId="5C9B1A35" w14:textId="77777777" w:rsidR="008F3B14" w:rsidRPr="00BA68B8" w:rsidRDefault="008F3B14" w:rsidP="008F3B14">
                      <w:pPr>
                        <w:spacing w:after="0" w:line="240" w:lineRule="auto"/>
                        <w:rPr>
                          <w:rFonts w:ascii="Arial" w:hAnsi="Arial" w:cs="Arial"/>
                          <w:b/>
                          <w:color w:val="FFFFFF" w:themeColor="background1"/>
                          <w:sz w:val="20"/>
                          <w:szCs w:val="20"/>
                        </w:rPr>
                      </w:pPr>
                      <w:r w:rsidRPr="00CE5541">
                        <w:rPr>
                          <w:rFonts w:ascii="Arial" w:hAnsi="Arial" w:cs="Arial"/>
                          <w:b/>
                          <w:bCs/>
                          <w:color w:val="FFFFFF" w:themeColor="background1"/>
                          <w:sz w:val="20"/>
                          <w:szCs w:val="20"/>
                          <w:lang w:val="vi-VN"/>
                        </w:rPr>
                        <w:t>Giám định IP và giải quyết tranh chấp tại Việt Nam</w:t>
                      </w:r>
                    </w:p>
                  </w:txbxContent>
                </v:textbox>
              </v:rect>
            </w:pict>
          </mc:Fallback>
        </mc:AlternateContent>
      </w:r>
      <w:r w:rsidRPr="00526BE5">
        <w:rPr>
          <w:rFonts w:ascii="Arial" w:hAnsi="Arial" w:cs="Arial"/>
          <w:iCs/>
          <w:sz w:val="20"/>
          <w:szCs w:val="20"/>
          <w:lang w:val="vi-VN"/>
        </w:rPr>
        <w:t>vô cùng bức thiết. Kết luận giám định/ý kiến chuyên môn của Viện KHSHTT giúp đảm bảo rằng các tranh chấp về quyền SHTT được giải quyết một cách công bằng và hiệu quả, đồng thời, giúp các doanh nghiệp có thể tin tưởng vào cơ chế bảo hộ, thực thi quyền SHTT của họ tại Việt Nam.</w:t>
      </w:r>
    </w:p>
    <w:p w14:paraId="7FA2D021" w14:textId="77777777" w:rsidR="00526BE5" w:rsidRPr="00526BE5" w:rsidRDefault="00526BE5" w:rsidP="00526BE5">
      <w:pPr>
        <w:spacing w:after="0" w:line="240" w:lineRule="auto"/>
        <w:jc w:val="both"/>
        <w:rPr>
          <w:rFonts w:ascii="Arial" w:hAnsi="Arial" w:cs="Arial"/>
          <w:iCs/>
          <w:sz w:val="20"/>
          <w:szCs w:val="20"/>
          <w:lang w:val="vi-VN"/>
        </w:rPr>
      </w:pPr>
    </w:p>
    <w:p w14:paraId="241788F0" w14:textId="77777777" w:rsidR="00526BE5" w:rsidRPr="00FF0A30" w:rsidRDefault="00526BE5" w:rsidP="00526BE5">
      <w:pPr>
        <w:spacing w:after="0" w:line="240" w:lineRule="auto"/>
        <w:jc w:val="both"/>
        <w:rPr>
          <w:rFonts w:ascii="Arial" w:hAnsi="Arial" w:cs="Arial"/>
          <w:b/>
          <w:iCs/>
          <w:color w:val="0000FF"/>
          <w:sz w:val="20"/>
          <w:szCs w:val="20"/>
          <w:lang w:val="vi-VN"/>
        </w:rPr>
      </w:pPr>
      <w:r w:rsidRPr="00FF0A30">
        <w:rPr>
          <w:rFonts w:ascii="Arial" w:hAnsi="Arial" w:cs="Arial"/>
          <w:b/>
          <w:iCs/>
          <w:color w:val="0000FF"/>
          <w:sz w:val="20"/>
          <w:szCs w:val="20"/>
          <w:lang w:val="vi-VN"/>
        </w:rPr>
        <w:t>Nhãn hiệu – đối tượng sở hữu công nghiệp bị vi phạm nhiều nhất</w:t>
      </w:r>
    </w:p>
    <w:p w14:paraId="35ED17E9" w14:textId="77777777" w:rsidR="00526BE5" w:rsidRPr="00C52B26" w:rsidRDefault="00526BE5" w:rsidP="00526BE5">
      <w:pPr>
        <w:spacing w:after="0" w:line="240" w:lineRule="auto"/>
        <w:jc w:val="both"/>
        <w:rPr>
          <w:rFonts w:ascii="Arial" w:hAnsi="Arial" w:cs="Arial"/>
          <w:b/>
          <w:iCs/>
          <w:sz w:val="20"/>
          <w:szCs w:val="20"/>
          <w:lang w:val="vi-VN"/>
        </w:rPr>
      </w:pPr>
    </w:p>
    <w:p w14:paraId="63BB0C60" w14:textId="2B3C9F8C" w:rsidR="00526BE5" w:rsidRPr="00526BE5" w:rsidRDefault="00526BE5" w:rsidP="00526BE5">
      <w:pPr>
        <w:spacing w:after="0" w:line="240" w:lineRule="auto"/>
        <w:jc w:val="both"/>
        <w:rPr>
          <w:rFonts w:ascii="Arial" w:hAnsi="Arial" w:cs="Arial"/>
          <w:iCs/>
          <w:sz w:val="20"/>
          <w:szCs w:val="20"/>
          <w:lang w:val="vi-VN"/>
        </w:rPr>
      </w:pPr>
      <w:r w:rsidRPr="00526BE5">
        <w:rPr>
          <w:rFonts w:ascii="Arial" w:hAnsi="Arial" w:cs="Arial"/>
          <w:iCs/>
          <w:sz w:val="20"/>
          <w:szCs w:val="20"/>
          <w:lang w:val="vi-VN"/>
        </w:rPr>
        <w:t>Số liệu thống kê về việc giám định SHTT/ý kiến chuyên môn do Viện KHSHTT cung cấp rất quan trọng vì chúng cung cấp bức tranh tổng quan về xu hướng vi p</w:t>
      </w:r>
      <w:r w:rsidR="00263801">
        <w:rPr>
          <w:rFonts w:ascii="Arial" w:hAnsi="Arial" w:cs="Arial"/>
          <w:iCs/>
          <w:sz w:val="20"/>
          <w:szCs w:val="20"/>
        </w:rPr>
        <w:t xml:space="preserve"> </w:t>
      </w:r>
      <w:r w:rsidR="00EC05A7">
        <w:rPr>
          <w:rFonts w:ascii="Arial" w:hAnsi="Arial" w:cs="Arial"/>
          <w:iCs/>
          <w:sz w:val="20"/>
          <w:szCs w:val="20"/>
        </w:rPr>
        <w:t xml:space="preserve">  </w:t>
      </w:r>
      <w:r w:rsidRPr="00526BE5">
        <w:rPr>
          <w:rFonts w:ascii="Arial" w:hAnsi="Arial" w:cs="Arial"/>
          <w:iCs/>
          <w:sz w:val="20"/>
          <w:szCs w:val="20"/>
          <w:lang w:val="vi-VN"/>
        </w:rPr>
        <w:t>hạm quyền SHTT ở Việt Nam. Số liệu thống kê cho thấy nhãn hiệu là đối tượng sở hữu công nghiệp bị vi phạm nhiều nhất và đây là hành vi vi phạm phổ biến nhất tại Việt Nam. Do vậy, chủ sở hữu quyền SHTTcần xây dựng và phát triển các chiến lược và chính sách thực thi hiệu quả hơn để bảo vệ quyền SHTT của họ, đặc biệt là nhãn hiệu để phòng tránh và giảm thiểu các rủi ro xâm phạm tiềm ẩn.</w:t>
      </w:r>
    </w:p>
    <w:p w14:paraId="19D6AAB3" w14:textId="77777777" w:rsidR="00526BE5" w:rsidRPr="00526BE5" w:rsidRDefault="00526BE5" w:rsidP="00526BE5">
      <w:pPr>
        <w:spacing w:after="0" w:line="240" w:lineRule="auto"/>
        <w:jc w:val="both"/>
        <w:rPr>
          <w:rFonts w:ascii="Arial" w:hAnsi="Arial" w:cs="Arial"/>
          <w:iCs/>
          <w:sz w:val="20"/>
          <w:szCs w:val="20"/>
          <w:lang w:val="vi-VN"/>
        </w:rPr>
      </w:pPr>
    </w:p>
    <w:p w14:paraId="5B5F571D" w14:textId="77777777" w:rsidR="00526BE5" w:rsidRPr="00526BE5" w:rsidRDefault="00526BE5" w:rsidP="00526BE5">
      <w:pPr>
        <w:spacing w:after="0" w:line="240" w:lineRule="auto"/>
        <w:jc w:val="both"/>
        <w:rPr>
          <w:rFonts w:ascii="Arial" w:hAnsi="Arial" w:cs="Arial"/>
          <w:iCs/>
          <w:sz w:val="20"/>
          <w:szCs w:val="20"/>
          <w:lang w:val="vi-VN"/>
        </w:rPr>
      </w:pPr>
      <w:r w:rsidRPr="00526BE5">
        <w:rPr>
          <w:rFonts w:ascii="Arial" w:hAnsi="Arial" w:cs="Arial"/>
          <w:iCs/>
          <w:sz w:val="20"/>
          <w:szCs w:val="20"/>
          <w:lang w:val="vi-VN"/>
        </w:rPr>
        <w:t>Phần lớn các yêu cầu giám định xâm phạm SHTT mà Viện KHSHTT nhận được trong 13 năm qua có liên quan đến “</w:t>
      </w:r>
      <w:r w:rsidRPr="00D1712A">
        <w:rPr>
          <w:rFonts w:ascii="Arial" w:hAnsi="Arial" w:cs="Arial"/>
          <w:b/>
          <w:iCs/>
          <w:sz w:val="20"/>
          <w:szCs w:val="20"/>
          <w:lang w:val="vi-VN"/>
        </w:rPr>
        <w:t>nhãn hiệu</w:t>
      </w:r>
      <w:r w:rsidRPr="00526BE5">
        <w:rPr>
          <w:rFonts w:ascii="Arial" w:hAnsi="Arial" w:cs="Arial"/>
          <w:iCs/>
          <w:sz w:val="20"/>
          <w:szCs w:val="20"/>
          <w:lang w:val="vi-VN"/>
        </w:rPr>
        <w:t>”, tiếp theo là “</w:t>
      </w:r>
      <w:r w:rsidRPr="00D1712A">
        <w:rPr>
          <w:rFonts w:ascii="Arial" w:hAnsi="Arial" w:cs="Arial"/>
          <w:b/>
          <w:iCs/>
          <w:sz w:val="20"/>
          <w:szCs w:val="20"/>
          <w:lang w:val="vi-VN"/>
        </w:rPr>
        <w:t>kiểu dáng công nghiệp</w:t>
      </w:r>
      <w:r w:rsidRPr="00526BE5">
        <w:rPr>
          <w:rFonts w:ascii="Arial" w:hAnsi="Arial" w:cs="Arial"/>
          <w:iCs/>
          <w:sz w:val="20"/>
          <w:szCs w:val="20"/>
          <w:lang w:val="vi-VN"/>
        </w:rPr>
        <w:t>” và “</w:t>
      </w:r>
      <w:r w:rsidRPr="00D1712A">
        <w:rPr>
          <w:rFonts w:ascii="Arial" w:hAnsi="Arial" w:cs="Arial"/>
          <w:b/>
          <w:iCs/>
          <w:sz w:val="20"/>
          <w:szCs w:val="20"/>
          <w:lang w:val="vi-VN"/>
        </w:rPr>
        <w:t>sáng chế</w:t>
      </w:r>
      <w:r w:rsidRPr="00D1712A">
        <w:rPr>
          <w:rFonts w:ascii="Arial" w:hAnsi="Arial" w:cs="Arial"/>
          <w:iCs/>
          <w:sz w:val="20"/>
          <w:szCs w:val="20"/>
          <w:lang w:val="vi-VN"/>
        </w:rPr>
        <w:t>”</w:t>
      </w:r>
      <w:r w:rsidRPr="00D1712A">
        <w:rPr>
          <w:rFonts w:ascii="Arial" w:hAnsi="Arial" w:cs="Arial"/>
          <w:b/>
          <w:iCs/>
          <w:sz w:val="20"/>
          <w:szCs w:val="20"/>
          <w:lang w:val="vi-VN"/>
        </w:rPr>
        <w:t>.</w:t>
      </w:r>
      <w:r w:rsidRPr="00526BE5">
        <w:rPr>
          <w:rFonts w:ascii="Arial" w:hAnsi="Arial" w:cs="Arial"/>
          <w:iCs/>
          <w:sz w:val="20"/>
          <w:szCs w:val="20"/>
          <w:lang w:val="vi-VN"/>
        </w:rPr>
        <w:t xml:space="preserve"> Chỉ dẫn địa lý là đối tượng ít được yêu cầu nhất.</w:t>
      </w:r>
    </w:p>
    <w:p w14:paraId="739DD550" w14:textId="77777777" w:rsidR="00526BE5" w:rsidRPr="00526BE5" w:rsidRDefault="00526BE5" w:rsidP="00526BE5">
      <w:pPr>
        <w:spacing w:after="0" w:line="240" w:lineRule="auto"/>
        <w:jc w:val="both"/>
        <w:rPr>
          <w:rFonts w:ascii="Arial" w:hAnsi="Arial" w:cs="Arial"/>
          <w:iCs/>
          <w:sz w:val="20"/>
          <w:szCs w:val="20"/>
          <w:lang w:val="vi-VN"/>
        </w:rPr>
      </w:pPr>
    </w:p>
    <w:p w14:paraId="090D5FD8" w14:textId="77777777" w:rsidR="00526BE5" w:rsidRPr="00526BE5" w:rsidRDefault="00526BE5" w:rsidP="00526BE5">
      <w:pPr>
        <w:spacing w:after="0" w:line="240" w:lineRule="auto"/>
        <w:jc w:val="both"/>
        <w:rPr>
          <w:rFonts w:ascii="Arial" w:hAnsi="Arial" w:cs="Arial"/>
          <w:iCs/>
          <w:sz w:val="20"/>
          <w:szCs w:val="20"/>
          <w:lang w:val="vi-VN"/>
        </w:rPr>
      </w:pPr>
      <w:r w:rsidRPr="00526BE5">
        <w:rPr>
          <w:rFonts w:ascii="Arial" w:hAnsi="Arial" w:cs="Arial"/>
          <w:iCs/>
          <w:sz w:val="20"/>
          <w:szCs w:val="20"/>
          <w:lang w:val="vi-VN"/>
        </w:rPr>
        <w:t>Tổng số đơn yêu cầu giám định xâm phạm SHTT tăng đều qua các năm, với bước nhảy vọt đáng chú ý vào năm 2014 và tăng ổn định từ năm 2017 đến năm 2020. Tuy nhiên, số lượng yêu cầu đã giảm nhẹ vào năm 2021 và 2022 do những khó khăn về kinh tế do hậu quả của đại dịch Covid-19 và chiến tranh Nga-Ukraine,… Giám định xâm phạm quyền đối với nhãn hiệu là dịch vụ được yêu cầu nhiều nhất, với tổng số 7.947 yêu cầu nhận được trong thời gian 13 năm. Con số này nhiều hơn nhiều lần so với số lượng yêu cầu giám định xâm phạm kiểu dáng công nghiệp và hơn 25 lần số lượng yêu cầu giám định xâm phạm sáng chế. Có thể cho thấy rằng, xâm phạm quyền đối với sáng chế tại Việt Nam ít hơn so với nhãn hiệu hoặc kiểu dáng công nghiệp.</w:t>
      </w:r>
    </w:p>
    <w:p w14:paraId="612285A8" w14:textId="77777777" w:rsidR="00526BE5" w:rsidRPr="00526BE5" w:rsidRDefault="00526BE5" w:rsidP="00526BE5">
      <w:pPr>
        <w:spacing w:after="0" w:line="240" w:lineRule="auto"/>
        <w:jc w:val="both"/>
        <w:rPr>
          <w:rFonts w:ascii="Arial" w:hAnsi="Arial" w:cs="Arial"/>
          <w:iCs/>
          <w:sz w:val="20"/>
          <w:szCs w:val="20"/>
          <w:lang w:val="vi-VN"/>
        </w:rPr>
      </w:pPr>
    </w:p>
    <w:p w14:paraId="046E73F9" w14:textId="77777777" w:rsidR="00526BE5" w:rsidRPr="00526BE5" w:rsidRDefault="00526BE5" w:rsidP="00526BE5">
      <w:pPr>
        <w:spacing w:after="0" w:line="240" w:lineRule="auto"/>
        <w:jc w:val="both"/>
        <w:rPr>
          <w:rFonts w:ascii="Arial" w:hAnsi="Arial" w:cs="Arial"/>
          <w:iCs/>
          <w:sz w:val="20"/>
          <w:szCs w:val="20"/>
          <w:lang w:val="vi-VN"/>
        </w:rPr>
      </w:pPr>
      <w:r w:rsidRPr="00526BE5">
        <w:rPr>
          <w:rFonts w:ascii="Arial" w:hAnsi="Arial" w:cs="Arial"/>
          <w:iCs/>
          <w:sz w:val="20"/>
          <w:szCs w:val="20"/>
          <w:lang w:val="vi-VN"/>
        </w:rPr>
        <w:t>Giám định xâm phạm quyền đối với chỉ dẫn địa lý là dịch vụ ít được yêu cầu nhất, chỉ với tám yêu cầu nhận được trong khoảng thời gian 13 năm. Điều này là do số lượng chỉ dẫn địa lý được đăng ký tại Việt Nam còn khá thấp.</w:t>
      </w:r>
    </w:p>
    <w:p w14:paraId="1C63C730" w14:textId="77777777" w:rsidR="00526BE5" w:rsidRPr="00526BE5" w:rsidRDefault="00526BE5" w:rsidP="00526BE5">
      <w:pPr>
        <w:spacing w:after="0" w:line="240" w:lineRule="auto"/>
        <w:jc w:val="both"/>
        <w:rPr>
          <w:rFonts w:ascii="Arial" w:hAnsi="Arial" w:cs="Arial"/>
          <w:iCs/>
          <w:sz w:val="20"/>
          <w:szCs w:val="20"/>
          <w:lang w:val="vi-VN"/>
        </w:rPr>
      </w:pPr>
    </w:p>
    <w:p w14:paraId="430DD885" w14:textId="3ADD4AF7" w:rsidR="00391C68" w:rsidRDefault="00526BE5" w:rsidP="00526BE5">
      <w:pPr>
        <w:spacing w:after="0" w:line="240" w:lineRule="auto"/>
        <w:jc w:val="both"/>
        <w:rPr>
          <w:rFonts w:ascii="Arial" w:hAnsi="Arial" w:cs="Arial"/>
          <w:iCs/>
          <w:sz w:val="20"/>
          <w:szCs w:val="20"/>
          <w:lang w:val="vi-VN"/>
        </w:rPr>
      </w:pPr>
      <w:r w:rsidRPr="00526BE5">
        <w:rPr>
          <w:rFonts w:ascii="Arial" w:hAnsi="Arial" w:cs="Arial"/>
          <w:iCs/>
          <w:sz w:val="20"/>
          <w:szCs w:val="20"/>
          <w:lang w:val="vi-VN"/>
        </w:rPr>
        <w:t>Tổng số yêu cầu giám định quyền SHTT đã tăng đáng kể trong các năm qua, điều này phản ánh tầm quan trọng ngày càng tăng của quyền SHTT tại Việt Nam và nhận thức ngày càng tăng về nhu cầu bảo vệ quyền SHTT của các chủ thể quyền SHTT khi tiến hành các hoạt động đầu tư, kinh doanh tại Việt Nam.</w:t>
      </w:r>
    </w:p>
    <w:p w14:paraId="047BD6DA" w14:textId="77777777" w:rsidR="00526BE5" w:rsidRDefault="00526BE5" w:rsidP="00391C68">
      <w:pPr>
        <w:spacing w:after="0" w:line="240" w:lineRule="auto"/>
        <w:jc w:val="both"/>
        <w:rPr>
          <w:rFonts w:ascii="Arial" w:hAnsi="Arial" w:cs="Arial"/>
          <w:iCs/>
          <w:sz w:val="20"/>
          <w:szCs w:val="20"/>
          <w:lang w:val="vi-VN"/>
        </w:rPr>
      </w:pPr>
    </w:p>
    <w:p w14:paraId="522FFD36" w14:textId="77777777" w:rsidR="00391C68" w:rsidRDefault="00391C68" w:rsidP="00391C68">
      <w:pPr>
        <w:spacing w:after="0" w:line="240" w:lineRule="auto"/>
        <w:jc w:val="both"/>
        <w:rPr>
          <w:rFonts w:ascii="Arial" w:hAnsi="Arial" w:cs="Arial"/>
          <w:b/>
          <w:iCs/>
          <w:color w:val="0000FF"/>
          <w:sz w:val="20"/>
          <w:szCs w:val="20"/>
          <w:lang w:val="vi-VN"/>
        </w:rPr>
      </w:pPr>
    </w:p>
    <w:p w14:paraId="69B5CD14" w14:textId="77777777" w:rsidR="007375E8" w:rsidRPr="008333BF" w:rsidRDefault="007375E8" w:rsidP="00D03044">
      <w:pPr>
        <w:spacing w:after="0" w:line="240" w:lineRule="auto"/>
        <w:jc w:val="both"/>
        <w:rPr>
          <w:rFonts w:ascii="Arial" w:hAnsi="Arial" w:cs="Arial"/>
          <w:iCs/>
          <w:sz w:val="20"/>
          <w:szCs w:val="20"/>
          <w:lang w:val="vi-VN"/>
        </w:rPr>
      </w:pPr>
    </w:p>
    <w:p w14:paraId="68D8DE35" w14:textId="77777777" w:rsidR="0002156E" w:rsidRPr="008333BF" w:rsidRDefault="0002156E" w:rsidP="0002156E">
      <w:pPr>
        <w:spacing w:after="0" w:line="240" w:lineRule="auto"/>
        <w:jc w:val="right"/>
        <w:rPr>
          <w:rFonts w:ascii="Arial" w:hAnsi="Arial" w:cs="Arial"/>
          <w:b/>
          <w:sz w:val="20"/>
          <w:szCs w:val="20"/>
          <w:lang w:val="vi-VN"/>
        </w:rPr>
      </w:pPr>
    </w:p>
    <w:p w14:paraId="62D17C41" w14:textId="77777777" w:rsidR="0002156E" w:rsidRPr="008333BF" w:rsidRDefault="0002156E" w:rsidP="0002156E">
      <w:pPr>
        <w:spacing w:after="0" w:line="240" w:lineRule="auto"/>
        <w:jc w:val="right"/>
        <w:rPr>
          <w:rFonts w:ascii="Arial" w:hAnsi="Arial" w:cs="Arial"/>
          <w:b/>
          <w:sz w:val="20"/>
          <w:szCs w:val="20"/>
          <w:lang w:val="vi-VN"/>
        </w:rPr>
      </w:pPr>
      <w:r w:rsidRPr="008333BF">
        <w:rPr>
          <w:rFonts w:ascii="Arial" w:hAnsi="Arial" w:cs="Arial"/>
          <w:b/>
          <w:sz w:val="20"/>
          <w:szCs w:val="20"/>
          <w:lang w:val="vi-VN"/>
        </w:rPr>
        <w:t>By Nguyen Vu QUAN</w:t>
      </w:r>
    </w:p>
    <w:p w14:paraId="1998C420" w14:textId="77777777" w:rsidR="0002156E" w:rsidRPr="008333BF" w:rsidRDefault="0002156E" w:rsidP="0002156E">
      <w:pPr>
        <w:spacing w:after="0" w:line="240" w:lineRule="auto"/>
        <w:jc w:val="right"/>
        <w:rPr>
          <w:rFonts w:ascii="Arial" w:hAnsi="Arial" w:cs="Arial"/>
          <w:b/>
          <w:sz w:val="20"/>
          <w:szCs w:val="20"/>
          <w:lang w:val="vi-VN"/>
        </w:rPr>
      </w:pPr>
      <w:r w:rsidRPr="008333BF">
        <w:rPr>
          <w:rFonts w:ascii="Arial" w:hAnsi="Arial" w:cs="Arial"/>
          <w:b/>
          <w:sz w:val="20"/>
          <w:szCs w:val="20"/>
          <w:lang w:val="vi-VN"/>
        </w:rPr>
        <w:t>Partner &amp; IP Attorney</w:t>
      </w:r>
    </w:p>
    <w:p w14:paraId="14A8B26E" w14:textId="77777777" w:rsidR="0002156E" w:rsidRPr="008333BF" w:rsidRDefault="0002156E" w:rsidP="0002156E">
      <w:pPr>
        <w:spacing w:after="0" w:line="240" w:lineRule="auto"/>
        <w:jc w:val="both"/>
        <w:rPr>
          <w:rFonts w:ascii="Arial" w:eastAsia="Times New Roman" w:hAnsi="Arial" w:cs="Arial"/>
          <w:sz w:val="20"/>
          <w:szCs w:val="20"/>
          <w:lang w:val="vi-VN" w:eastAsia="ko-KR"/>
        </w:rPr>
      </w:pPr>
      <w:r w:rsidRPr="008333BF">
        <w:rPr>
          <w:rFonts w:ascii="Arial" w:hAnsi="Arial" w:cs="Arial"/>
          <w:noProof/>
          <w:lang w:val="vi-VN"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8333BF" w:rsidRDefault="0002156E" w:rsidP="0002156E">
      <w:pPr>
        <w:spacing w:after="0" w:line="240" w:lineRule="auto"/>
        <w:rPr>
          <w:rFonts w:ascii="Arial" w:hAnsi="Arial" w:cs="Arial"/>
          <w:lang w:val="vi-VN"/>
        </w:rPr>
      </w:pPr>
    </w:p>
    <w:p w14:paraId="5C6FA545" w14:textId="77777777" w:rsidR="0002156E" w:rsidRPr="008333BF" w:rsidRDefault="0002156E" w:rsidP="0002156E">
      <w:pPr>
        <w:rPr>
          <w:rFonts w:ascii="Arial" w:hAnsi="Arial" w:cs="Arial"/>
          <w:sz w:val="20"/>
          <w:szCs w:val="20"/>
          <w:lang w:val="vi-VN"/>
        </w:rPr>
      </w:pPr>
    </w:p>
    <w:p w14:paraId="69777E0C" w14:textId="15483ABA" w:rsidR="00D75958" w:rsidRPr="008333BF" w:rsidRDefault="00D75958" w:rsidP="00D75958">
      <w:pPr>
        <w:spacing w:after="0" w:line="240" w:lineRule="auto"/>
        <w:jc w:val="both"/>
        <w:rPr>
          <w:rFonts w:ascii="Arial" w:eastAsia="Times New Roman" w:hAnsi="Arial" w:cs="Arial"/>
          <w:sz w:val="20"/>
          <w:szCs w:val="20"/>
          <w:lang w:val="vi-VN" w:eastAsia="ko-KR"/>
        </w:rPr>
      </w:pPr>
    </w:p>
    <w:p w14:paraId="282B93C3" w14:textId="77777777" w:rsidR="00D75958" w:rsidRPr="008333BF" w:rsidRDefault="00D75958" w:rsidP="00D75958">
      <w:pPr>
        <w:spacing w:after="0" w:line="240" w:lineRule="auto"/>
        <w:rPr>
          <w:rFonts w:ascii="Arial" w:hAnsi="Arial" w:cs="Arial"/>
          <w:lang w:val="vi-VN"/>
        </w:rPr>
      </w:pPr>
    </w:p>
    <w:p w14:paraId="2AD06DEB" w14:textId="77777777" w:rsidR="00D75958" w:rsidRPr="008333BF" w:rsidRDefault="00D75958" w:rsidP="00D75958">
      <w:pPr>
        <w:rPr>
          <w:rFonts w:ascii="Arial" w:hAnsi="Arial" w:cs="Arial"/>
          <w:sz w:val="20"/>
          <w:szCs w:val="20"/>
          <w:lang w:val="vi-VN"/>
        </w:rPr>
      </w:pPr>
    </w:p>
    <w:sectPr w:rsidR="00D75958" w:rsidRPr="008333BF" w:rsidSect="0059620B">
      <w:footerReference w:type="default" r:id="rId12"/>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08F05" w14:textId="77777777" w:rsidR="005B72D3" w:rsidRDefault="005B72D3">
      <w:pPr>
        <w:spacing w:after="0" w:line="240" w:lineRule="auto"/>
      </w:pPr>
      <w:r>
        <w:separator/>
      </w:r>
    </w:p>
  </w:endnote>
  <w:endnote w:type="continuationSeparator" w:id="0">
    <w:p w14:paraId="7554B690" w14:textId="77777777" w:rsidR="005B72D3" w:rsidRDefault="005B7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19E40" w14:textId="44B8AECD" w:rsidR="00C62253" w:rsidRPr="00FF7ED4" w:rsidRDefault="005B72D3">
    <w:pPr>
      <w:pStyle w:val="Footer"/>
      <w:rPr>
        <w:sz w:val="18"/>
        <w:szCs w:val="18"/>
      </w:rPr>
    </w:pPr>
  </w:p>
  <w:p w14:paraId="2B30F0B7" w14:textId="77777777" w:rsidR="00C62253" w:rsidRDefault="005B7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3C4EE" w14:textId="77777777" w:rsidR="005B72D3" w:rsidRDefault="005B72D3">
      <w:pPr>
        <w:spacing w:after="0" w:line="240" w:lineRule="auto"/>
      </w:pPr>
      <w:r>
        <w:separator/>
      </w:r>
    </w:p>
  </w:footnote>
  <w:footnote w:type="continuationSeparator" w:id="0">
    <w:p w14:paraId="52127F65" w14:textId="77777777" w:rsidR="005B72D3" w:rsidRDefault="005B7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8105B"/>
    <w:multiLevelType w:val="hybridMultilevel"/>
    <w:tmpl w:val="4714389E"/>
    <w:lvl w:ilvl="0" w:tplc="8A2E6F4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1282F"/>
    <w:multiLevelType w:val="hybridMultilevel"/>
    <w:tmpl w:val="ACEA076C"/>
    <w:lvl w:ilvl="0" w:tplc="6D7474A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AD5646"/>
    <w:multiLevelType w:val="hybridMultilevel"/>
    <w:tmpl w:val="86644C6E"/>
    <w:lvl w:ilvl="0" w:tplc="8A2E6F4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F6CB8"/>
    <w:multiLevelType w:val="hybridMultilevel"/>
    <w:tmpl w:val="2DD4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CA373D"/>
    <w:multiLevelType w:val="hybridMultilevel"/>
    <w:tmpl w:val="ACD4BE1C"/>
    <w:lvl w:ilvl="0" w:tplc="784A244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F7419C"/>
    <w:multiLevelType w:val="hybridMultilevel"/>
    <w:tmpl w:val="E35CFA38"/>
    <w:lvl w:ilvl="0" w:tplc="D5F4AB5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15:restartNumberingAfterBreak="0">
    <w:nsid w:val="7B79118A"/>
    <w:multiLevelType w:val="hybridMultilevel"/>
    <w:tmpl w:val="C61EF182"/>
    <w:lvl w:ilvl="0" w:tplc="6EFE8C3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990080"/>
    <w:multiLevelType w:val="hybridMultilevel"/>
    <w:tmpl w:val="8AFEC97C"/>
    <w:lvl w:ilvl="0" w:tplc="8A2E6F4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12"/>
  </w:num>
  <w:num w:numId="4">
    <w:abstractNumId w:val="18"/>
  </w:num>
  <w:num w:numId="5">
    <w:abstractNumId w:val="14"/>
  </w:num>
  <w:num w:numId="6">
    <w:abstractNumId w:val="0"/>
  </w:num>
  <w:num w:numId="7">
    <w:abstractNumId w:val="6"/>
  </w:num>
  <w:num w:numId="8">
    <w:abstractNumId w:val="19"/>
  </w:num>
  <w:num w:numId="9">
    <w:abstractNumId w:val="8"/>
  </w:num>
  <w:num w:numId="10">
    <w:abstractNumId w:val="4"/>
  </w:num>
  <w:num w:numId="11">
    <w:abstractNumId w:val="16"/>
  </w:num>
  <w:num w:numId="12">
    <w:abstractNumId w:val="1"/>
  </w:num>
  <w:num w:numId="13">
    <w:abstractNumId w:val="13"/>
  </w:num>
  <w:num w:numId="14">
    <w:abstractNumId w:val="15"/>
  </w:num>
  <w:num w:numId="15">
    <w:abstractNumId w:val="10"/>
  </w:num>
  <w:num w:numId="16">
    <w:abstractNumId w:val="21"/>
  </w:num>
  <w:num w:numId="17">
    <w:abstractNumId w:val="2"/>
  </w:num>
  <w:num w:numId="18">
    <w:abstractNumId w:val="11"/>
  </w:num>
  <w:num w:numId="19">
    <w:abstractNumId w:val="20"/>
  </w:num>
  <w:num w:numId="20">
    <w:abstractNumId w:val="5"/>
  </w:num>
  <w:num w:numId="21">
    <w:abstractNumId w:val="22"/>
  </w:num>
  <w:num w:numId="22">
    <w:abstractNumId w:val="17"/>
  </w:num>
  <w:num w:numId="23">
    <w:abstractNumId w:val="9"/>
  </w:num>
  <w:num w:numId="24">
    <w:abstractNumId w:val="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076D36"/>
    <w:rsid w:val="001163E9"/>
    <w:rsid w:val="00126CC7"/>
    <w:rsid w:val="001515AA"/>
    <w:rsid w:val="001811E0"/>
    <w:rsid w:val="001C2CF9"/>
    <w:rsid w:val="001D1CDD"/>
    <w:rsid w:val="001E0868"/>
    <w:rsid w:val="001E76FA"/>
    <w:rsid w:val="001F30E9"/>
    <w:rsid w:val="00215B22"/>
    <w:rsid w:val="00220850"/>
    <w:rsid w:val="00234C16"/>
    <w:rsid w:val="00263801"/>
    <w:rsid w:val="002753DD"/>
    <w:rsid w:val="002B63C0"/>
    <w:rsid w:val="002D31C3"/>
    <w:rsid w:val="002F6E3C"/>
    <w:rsid w:val="0030781B"/>
    <w:rsid w:val="0032315D"/>
    <w:rsid w:val="0033574A"/>
    <w:rsid w:val="003756D4"/>
    <w:rsid w:val="00391C68"/>
    <w:rsid w:val="003A33CA"/>
    <w:rsid w:val="003C03C2"/>
    <w:rsid w:val="003D7C8C"/>
    <w:rsid w:val="004833A8"/>
    <w:rsid w:val="00495AAE"/>
    <w:rsid w:val="004A1761"/>
    <w:rsid w:val="004D59AD"/>
    <w:rsid w:val="004D64BC"/>
    <w:rsid w:val="005143BB"/>
    <w:rsid w:val="00514DFF"/>
    <w:rsid w:val="00526BE5"/>
    <w:rsid w:val="00531173"/>
    <w:rsid w:val="00576438"/>
    <w:rsid w:val="005B72D3"/>
    <w:rsid w:val="005D32F9"/>
    <w:rsid w:val="00614B9A"/>
    <w:rsid w:val="00631122"/>
    <w:rsid w:val="00636788"/>
    <w:rsid w:val="00675D62"/>
    <w:rsid w:val="006B5C57"/>
    <w:rsid w:val="006C0389"/>
    <w:rsid w:val="006F1BC0"/>
    <w:rsid w:val="007375E8"/>
    <w:rsid w:val="00745E08"/>
    <w:rsid w:val="00776AD7"/>
    <w:rsid w:val="007C392A"/>
    <w:rsid w:val="007C7974"/>
    <w:rsid w:val="00813493"/>
    <w:rsid w:val="00814609"/>
    <w:rsid w:val="00820E66"/>
    <w:rsid w:val="008333BF"/>
    <w:rsid w:val="008366D4"/>
    <w:rsid w:val="008416E5"/>
    <w:rsid w:val="008A56C2"/>
    <w:rsid w:val="008D36F2"/>
    <w:rsid w:val="008E29AC"/>
    <w:rsid w:val="008F3B14"/>
    <w:rsid w:val="009104F8"/>
    <w:rsid w:val="00933532"/>
    <w:rsid w:val="00965B55"/>
    <w:rsid w:val="00A4177F"/>
    <w:rsid w:val="00A5670F"/>
    <w:rsid w:val="00A623C4"/>
    <w:rsid w:val="00A72D6D"/>
    <w:rsid w:val="00AC74F1"/>
    <w:rsid w:val="00AF0703"/>
    <w:rsid w:val="00B40DAC"/>
    <w:rsid w:val="00BA575F"/>
    <w:rsid w:val="00C13ACF"/>
    <w:rsid w:val="00C52B26"/>
    <w:rsid w:val="00C70738"/>
    <w:rsid w:val="00CA3F97"/>
    <w:rsid w:val="00CB5AE5"/>
    <w:rsid w:val="00CE035D"/>
    <w:rsid w:val="00CE5541"/>
    <w:rsid w:val="00D02775"/>
    <w:rsid w:val="00D03044"/>
    <w:rsid w:val="00D04B4E"/>
    <w:rsid w:val="00D1712A"/>
    <w:rsid w:val="00D417C1"/>
    <w:rsid w:val="00D645F2"/>
    <w:rsid w:val="00D73780"/>
    <w:rsid w:val="00D75958"/>
    <w:rsid w:val="00DC1D7A"/>
    <w:rsid w:val="00E02884"/>
    <w:rsid w:val="00EB55DA"/>
    <w:rsid w:val="00EC05A7"/>
    <w:rsid w:val="00EC12BB"/>
    <w:rsid w:val="00EC5B6B"/>
    <w:rsid w:val="00F7004B"/>
    <w:rsid w:val="00FA2CEE"/>
    <w:rsid w:val="00FF0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styleId="FollowedHyperlink">
    <w:name w:val="FollowedHyperlink"/>
    <w:basedOn w:val="DefaultParagraphFont"/>
    <w:uiPriority w:val="99"/>
    <w:semiHidden/>
    <w:unhideWhenUsed/>
    <w:rsid w:val="009104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dich-vu/viet-nam/so-huu-tri-tue/kieu-dang-cong-nghie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oxlaw.com/vi/dich-vu/viet-nam/so-huu-tri-tue/sang-che-giai-phap-huu-ic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dich-vu/viet-nam/so-huu-tri-tue/thuc-thi-quyen-shtt-tai-viet-nam" TargetMode="External"/><Relationship Id="rId5" Type="http://schemas.openxmlformats.org/officeDocument/2006/relationships/footnotes" Target="footnotes.xml"/><Relationship Id="rId10" Type="http://schemas.openxmlformats.org/officeDocument/2006/relationships/hyperlink" Target="https://kenfoxlaw.com/vi/dich-vu/viet-nam/so-huu-tri-tue/chi-dan-dia-ly" TargetMode="External"/><Relationship Id="rId4" Type="http://schemas.openxmlformats.org/officeDocument/2006/relationships/webSettings" Target="webSettings.xml"/><Relationship Id="rId9" Type="http://schemas.openxmlformats.org/officeDocument/2006/relationships/hyperlink" Target="https://kenfoxlaw.com/vi/dich-vu/viet-nam/so-huu-tri-tue/nhan-hi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16</cp:revision>
  <cp:lastPrinted>2023-04-21T04:44:00Z</cp:lastPrinted>
  <dcterms:created xsi:type="dcterms:W3CDTF">2023-02-07T03:35:00Z</dcterms:created>
  <dcterms:modified xsi:type="dcterms:W3CDTF">2023-04-21T04:45:00Z</dcterms:modified>
</cp:coreProperties>
</file>