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05EEB" w14:textId="520D91E4" w:rsidR="007375E8" w:rsidRDefault="00475467" w:rsidP="00CB75A2">
      <w:pPr>
        <w:jc w:val="center"/>
        <w:outlineLvl w:val="0"/>
        <w:rPr>
          <w:rFonts w:ascii="Arial" w:hAnsi="Arial" w:cs="Arial"/>
          <w:b/>
          <w:iCs/>
          <w:color w:val="C0000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21935990">
                <wp:simplePos x="0" y="0"/>
                <wp:positionH relativeFrom="column">
                  <wp:posOffset>6404610</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194E896D" w:rsidR="00FA2CEE" w:rsidRPr="00BA68B8" w:rsidRDefault="00475467" w:rsidP="00FA2CEE">
                            <w:pPr>
                              <w:spacing w:after="0" w:line="240" w:lineRule="auto"/>
                              <w:rPr>
                                <w:rFonts w:ascii="Arial" w:hAnsi="Arial" w:cs="Arial"/>
                                <w:b/>
                                <w:color w:val="FFFFFF" w:themeColor="background1"/>
                                <w:sz w:val="20"/>
                                <w:szCs w:val="20"/>
                              </w:rPr>
                            </w:pPr>
                            <w:r w:rsidRPr="00475467">
                              <w:rPr>
                                <w:rFonts w:ascii="Arial" w:hAnsi="Arial" w:cs="Arial"/>
                                <w:b/>
                                <w:bCs/>
                                <w:color w:val="FFFFFF" w:themeColor="background1"/>
                                <w:sz w:val="20"/>
                                <w:szCs w:val="20"/>
                              </w:rPr>
                              <w:t>IP Assessment and Dispute Resolution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4.3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" fillcolor="#00b39c" strokecolor="#00b39c" strokeweight="0">
                <v:textbox style="layout-flow:vertical">
                  <w:txbxContent>
                    <w:p w14:paraId="0E54C250" w14:textId="194E896D" w:rsidR="00FA2CEE" w:rsidRPr="00BA68B8" w:rsidRDefault="00475467" w:rsidP="00FA2CEE">
                      <w:pPr>
                        <w:spacing w:after="0" w:line="240" w:lineRule="auto"/>
                        <w:rPr>
                          <w:rFonts w:ascii="Arial" w:hAnsi="Arial" w:cs="Arial"/>
                          <w:b/>
                          <w:color w:val="FFFFFF" w:themeColor="background1"/>
                          <w:sz w:val="20"/>
                          <w:szCs w:val="20"/>
                        </w:rPr>
                      </w:pPr>
                      <w:r w:rsidRPr="00475467">
                        <w:rPr>
                          <w:rFonts w:ascii="Arial" w:hAnsi="Arial" w:cs="Arial"/>
                          <w:b/>
                          <w:bCs/>
                          <w:color w:val="FFFFFF" w:themeColor="background1"/>
                          <w:sz w:val="20"/>
                          <w:szCs w:val="20"/>
                        </w:rPr>
                        <w:t>IP Assessment and Dispute Resolution in Vietnam</w:t>
                      </w:r>
                    </w:p>
                  </w:txbxContent>
                </v:textbox>
              </v:rect>
            </w:pict>
          </mc:Fallback>
        </mc:AlternateContent>
      </w:r>
      <w:r w:rsidR="00CB75A2" w:rsidRPr="00CB75A2">
        <w:rPr>
          <w:rFonts w:ascii="Arial" w:hAnsi="Arial" w:cs="Arial"/>
          <w:b/>
          <w:iCs/>
          <w:color w:val="C00000"/>
        </w:rPr>
        <w:t>IP Assessment and Dispute Resolution in Vietnam: VIPRI's Contributions and</w:t>
      </w:r>
      <w:bookmarkStart w:id="0" w:name="_GoBack"/>
      <w:bookmarkEnd w:id="0"/>
      <w:r w:rsidR="00CB75A2" w:rsidRPr="00CB75A2">
        <w:rPr>
          <w:rFonts w:ascii="Arial" w:hAnsi="Arial" w:cs="Arial"/>
          <w:b/>
          <w:iCs/>
          <w:color w:val="C00000"/>
        </w:rPr>
        <w:t xml:space="preserve"> Statistics</w: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0033BC63" w:rsidR="00FA2CEE" w:rsidRPr="00CC7576" w:rsidRDefault="00475467" w:rsidP="00FA2CEE">
                            <w:pPr>
                              <w:spacing w:after="0"/>
                              <w:jc w:val="center"/>
                              <w:rPr>
                                <w:rFonts w:ascii="Arial" w:hAnsi="Arial" w:cs="Arial"/>
                                <w:b/>
                                <w:color w:val="FFFFFF" w:themeColor="background1"/>
                                <w:sz w:val="20"/>
                                <w:szCs w:val="20"/>
                              </w:rPr>
                            </w:pPr>
                            <w:r w:rsidRPr="00475467">
                              <w:rPr>
                                <w:rFonts w:ascii="Arial" w:hAnsi="Arial" w:cs="Arial"/>
                                <w:b/>
                                <w:bCs/>
                                <w:color w:val="FFFFFF" w:themeColor="background1"/>
                                <w:sz w:val="20"/>
                                <w:szCs w:val="20"/>
                              </w:rPr>
                              <w:t>IP Assessment and Dispute Resolution in Vietnam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0033BC63" w:rsidR="00FA2CEE" w:rsidRPr="00CC7576" w:rsidRDefault="00475467" w:rsidP="00FA2CEE">
                      <w:pPr>
                        <w:spacing w:after="0"/>
                        <w:jc w:val="center"/>
                        <w:rPr>
                          <w:rFonts w:ascii="Arial" w:hAnsi="Arial" w:cs="Arial"/>
                          <w:b/>
                          <w:color w:val="FFFFFF" w:themeColor="background1"/>
                          <w:sz w:val="20"/>
                          <w:szCs w:val="20"/>
                        </w:rPr>
                      </w:pPr>
                      <w:r w:rsidRPr="00475467">
                        <w:rPr>
                          <w:rFonts w:ascii="Arial" w:hAnsi="Arial" w:cs="Arial"/>
                          <w:b/>
                          <w:bCs/>
                          <w:color w:val="FFFFFF" w:themeColor="background1"/>
                          <w:sz w:val="20"/>
                          <w:szCs w:val="20"/>
                        </w:rPr>
                        <w:t>IP Assessment and Dispute Resolution in Vietnam</w:t>
                      </w:r>
                    </w:p>
                  </w:txbxContent>
                </v:textbox>
                <w10:wrap anchorx="page"/>
              </v:rect>
            </w:pict>
          </mc:Fallback>
        </mc:AlternateContent>
      </w:r>
      <w:r w:rsidR="00CB75A2">
        <w:rPr>
          <w:rFonts w:ascii="Arial" w:hAnsi="Arial" w:cs="Arial"/>
          <w:b/>
          <w:iCs/>
          <w:color w:val="C00000"/>
        </w:rPr>
        <w:t xml:space="preserve"> </w:t>
      </w:r>
    </w:p>
    <w:p w14:paraId="26924BF2" w14:textId="77777777" w:rsidR="00CB75A2" w:rsidRPr="00CB75A2" w:rsidRDefault="00CB75A2" w:rsidP="00CB75A2">
      <w:pPr>
        <w:jc w:val="center"/>
        <w:outlineLvl w:val="0"/>
        <w:rPr>
          <w:rFonts w:ascii="Arial" w:hAnsi="Arial" w:cs="Arial"/>
          <w:b/>
          <w:iCs/>
          <w:color w:val="C00000"/>
        </w:rPr>
      </w:pPr>
    </w:p>
    <w:p w14:paraId="6AA4B8AA" w14:textId="461A193A" w:rsidR="007375E8" w:rsidRPr="007375E8" w:rsidRDefault="007375E8" w:rsidP="007375E8">
      <w:pPr>
        <w:spacing w:after="0" w:line="240" w:lineRule="auto"/>
        <w:jc w:val="both"/>
        <w:rPr>
          <w:rFonts w:ascii="Arial" w:hAnsi="Arial" w:cs="Arial"/>
          <w:iCs/>
          <w:sz w:val="20"/>
          <w:szCs w:val="20"/>
        </w:rPr>
      </w:pPr>
    </w:p>
    <w:p w14:paraId="3CE0B846" w14:textId="4F31699F" w:rsidR="00CB75A2" w:rsidRDefault="00CB75A2" w:rsidP="00CB75A2">
      <w:pPr>
        <w:jc w:val="both"/>
        <w:rPr>
          <w:rFonts w:ascii="Arial" w:hAnsi="Arial" w:cs="Arial"/>
          <w:color w:val="000000"/>
          <w:sz w:val="20"/>
          <w:szCs w:val="20"/>
          <w:shd w:val="clear" w:color="auto" w:fill="FFFFFF"/>
        </w:rPr>
      </w:pPr>
      <w:r w:rsidRPr="007B2259">
        <w:rPr>
          <w:rFonts w:ascii="Arial" w:hAnsi="Arial" w:cs="Arial"/>
          <w:color w:val="000000"/>
          <w:sz w:val="20"/>
          <w:szCs w:val="20"/>
          <w:shd w:val="clear" w:color="auto" w:fill="FFFFFF"/>
        </w:rPr>
        <w:t xml:space="preserve">The Vietnam Intellectual Property Research Institute </w:t>
      </w:r>
      <w:r w:rsidR="00027223">
        <w:rPr>
          <w:rFonts w:ascii="Arial" w:hAnsi="Arial" w:cs="Arial"/>
          <w:color w:val="000000"/>
          <w:sz w:val="20"/>
          <w:szCs w:val="20"/>
          <w:shd w:val="clear" w:color="auto" w:fill="FFFFFF"/>
        </w:rPr>
        <w:t>(</w:t>
      </w:r>
      <w:hyperlink r:id="rId7" w:history="1">
        <w:r w:rsidRPr="00027223">
          <w:rPr>
            <w:rStyle w:val="Hyperlink"/>
            <w:rFonts w:ascii="Arial" w:hAnsi="Arial" w:cs="Arial"/>
            <w:b/>
            <w:bCs/>
            <w:color w:val="ED7D31" w:themeColor="accent2"/>
            <w:sz w:val="20"/>
            <w:szCs w:val="20"/>
            <w:u w:val="none"/>
            <w:shd w:val="clear" w:color="auto" w:fill="FFFFFF"/>
          </w:rPr>
          <w:t>VIPRI</w:t>
        </w:r>
      </w:hyperlink>
      <w:r w:rsidRPr="007B2259">
        <w:rPr>
          <w:rFonts w:ascii="Arial" w:hAnsi="Arial" w:cs="Arial"/>
          <w:color w:val="000000"/>
          <w:sz w:val="20"/>
          <w:szCs w:val="20"/>
          <w:shd w:val="clear" w:color="auto" w:fill="FFFFFF"/>
        </w:rPr>
        <w:t xml:space="preserve">) is a specialized research institution that operates under the Ministry of Science and Technology in Vietnam. The primary mission of VIPRI is to provide expert opinions and assessments related to </w:t>
      </w:r>
      <w:r w:rsidRPr="00C14D1C">
        <w:rPr>
          <w:rStyle w:val="Strong"/>
          <w:rFonts w:ascii="Arial" w:hAnsi="Arial" w:cs="Arial"/>
          <w:color w:val="000000"/>
          <w:sz w:val="20"/>
          <w:szCs w:val="20"/>
          <w:bdr w:val="none" w:sz="0" w:space="0" w:color="auto" w:frame="1"/>
          <w:shd w:val="clear" w:color="auto" w:fill="FFFFFF"/>
        </w:rPr>
        <w:t>industrial property</w:t>
      </w:r>
      <w:r w:rsidRPr="007B2259">
        <w:rPr>
          <w:rFonts w:ascii="Arial" w:hAnsi="Arial" w:cs="Arial"/>
          <w:color w:val="000000"/>
          <w:sz w:val="20"/>
          <w:szCs w:val="20"/>
          <w:shd w:val="clear" w:color="auto" w:fill="FFFFFF"/>
        </w:rPr>
        <w:t xml:space="preserve"> infringement cases. In particular, VIPRI focuses on industrial property subject matters such as inventions, industrial designs, designs of semi-conducting closed circuits, trade secrets, marks, trade names, and geographical indications. </w:t>
      </w:r>
    </w:p>
    <w:p w14:paraId="65628022" w14:textId="0F2E4200" w:rsidR="00CB75A2" w:rsidRDefault="00CB75A2" w:rsidP="00CB75A2">
      <w:pPr>
        <w:jc w:val="both"/>
        <w:rPr>
          <w:rFonts w:ascii="Arial" w:hAnsi="Arial" w:cs="Arial"/>
          <w:color w:val="000000"/>
          <w:sz w:val="20"/>
          <w:szCs w:val="20"/>
          <w:shd w:val="clear" w:color="auto" w:fill="FFFFFF"/>
        </w:rPr>
      </w:pPr>
      <w:r w:rsidRPr="007B2259">
        <w:rPr>
          <w:rFonts w:ascii="Arial" w:hAnsi="Arial" w:cs="Arial"/>
          <w:sz w:val="20"/>
          <w:szCs w:val="20"/>
        </w:rPr>
        <w:t>As a specialized research institution</w:t>
      </w:r>
      <w:r>
        <w:rPr>
          <w:rFonts w:ascii="Arial" w:hAnsi="Arial" w:cs="Arial"/>
          <w:sz w:val="20"/>
          <w:szCs w:val="20"/>
        </w:rPr>
        <w:t xml:space="preserve"> in Vietnam</w:t>
      </w:r>
      <w:r w:rsidRPr="007B2259">
        <w:rPr>
          <w:rFonts w:ascii="Arial" w:hAnsi="Arial" w:cs="Arial"/>
          <w:sz w:val="20"/>
          <w:szCs w:val="20"/>
        </w:rPr>
        <w:t>, VIPRI provides expert opinions and assessments to concerned parties such as Vietnamese enforcement authorities, IPR holders, and alleged infringers</w:t>
      </w:r>
      <w:r>
        <w:rPr>
          <w:rFonts w:ascii="Arial" w:hAnsi="Arial" w:cs="Arial"/>
          <w:sz w:val="20"/>
          <w:szCs w:val="20"/>
        </w:rPr>
        <w:t>.</w:t>
      </w:r>
    </w:p>
    <w:p w14:paraId="710A690D" w14:textId="50FE179D" w:rsidR="00CB75A2" w:rsidRPr="00475467" w:rsidRDefault="00CB75A2" w:rsidP="002D34F0">
      <w:pPr>
        <w:jc w:val="both"/>
        <w:rPr>
          <w:rFonts w:ascii="Arial" w:hAnsi="Arial" w:cs="Arial"/>
          <w:sz w:val="20"/>
          <w:szCs w:val="20"/>
        </w:rPr>
      </w:pPr>
      <w:r w:rsidRPr="007B2259">
        <w:rPr>
          <w:rFonts w:ascii="Arial" w:hAnsi="Arial" w:cs="Arial"/>
          <w:sz w:val="20"/>
          <w:szCs w:val="20"/>
        </w:rPr>
        <w:t xml:space="preserve">As of April 2023, VIPRI has </w:t>
      </w:r>
      <w:r>
        <w:rPr>
          <w:rFonts w:ascii="Arial" w:hAnsi="Arial" w:cs="Arial"/>
          <w:sz w:val="20"/>
          <w:szCs w:val="20"/>
        </w:rPr>
        <w:t>only</w:t>
      </w:r>
      <w:r w:rsidRPr="007B2259">
        <w:rPr>
          <w:rFonts w:ascii="Arial" w:hAnsi="Arial" w:cs="Arial"/>
          <w:sz w:val="20"/>
          <w:szCs w:val="20"/>
        </w:rPr>
        <w:t xml:space="preserve"> received IPR infringement assessment requests related to </w:t>
      </w:r>
      <w:r>
        <w:rPr>
          <w:rFonts w:ascii="Arial" w:hAnsi="Arial" w:cs="Arial"/>
          <w:sz w:val="20"/>
          <w:szCs w:val="20"/>
        </w:rPr>
        <w:t xml:space="preserve">04 following </w:t>
      </w:r>
      <w:r w:rsidRPr="007B2259">
        <w:rPr>
          <w:rFonts w:ascii="Arial" w:hAnsi="Arial" w:cs="Arial"/>
          <w:sz w:val="20"/>
          <w:szCs w:val="20"/>
        </w:rPr>
        <w:t>industrial property subject matters</w:t>
      </w:r>
      <w:r>
        <w:rPr>
          <w:rFonts w:ascii="Arial" w:hAnsi="Arial" w:cs="Arial"/>
          <w:sz w:val="20"/>
          <w:szCs w:val="20"/>
        </w:rPr>
        <w:t>:</w:t>
      </w:r>
      <w:r w:rsidRPr="007B2259">
        <w:rPr>
          <w:rFonts w:ascii="Arial" w:hAnsi="Arial" w:cs="Arial"/>
          <w:sz w:val="20"/>
          <w:szCs w:val="20"/>
        </w:rPr>
        <w:t xml:space="preserve"> </w:t>
      </w:r>
      <w:hyperlink r:id="rId8" w:history="1">
        <w:r w:rsidRPr="00027223">
          <w:rPr>
            <w:rStyle w:val="Hyperlink"/>
            <w:rFonts w:ascii="Arial" w:hAnsi="Arial" w:cs="Arial"/>
            <w:b/>
            <w:bCs/>
            <w:color w:val="ED7D31" w:themeColor="accent2"/>
            <w:sz w:val="20"/>
            <w:szCs w:val="20"/>
            <w:u w:val="none"/>
            <w:shd w:val="clear" w:color="auto" w:fill="FFFFFF"/>
          </w:rPr>
          <w:t>Patents</w:t>
        </w:r>
      </w:hyperlink>
      <w:r w:rsidRPr="00027223">
        <w:rPr>
          <w:rStyle w:val="Hyperlink"/>
          <w:color w:val="000000" w:themeColor="text1"/>
          <w:u w:val="none"/>
          <w:shd w:val="clear" w:color="auto" w:fill="FFFFFF"/>
        </w:rPr>
        <w:t>,</w:t>
      </w:r>
      <w:r w:rsidRPr="007B2259">
        <w:rPr>
          <w:rFonts w:ascii="Arial" w:hAnsi="Arial" w:cs="Arial"/>
          <w:b/>
          <w:bCs/>
          <w:sz w:val="20"/>
          <w:szCs w:val="20"/>
        </w:rPr>
        <w:t xml:space="preserve"> </w:t>
      </w:r>
      <w:hyperlink r:id="rId9" w:history="1">
        <w:r w:rsidRPr="00027223">
          <w:rPr>
            <w:rStyle w:val="Hyperlink"/>
            <w:rFonts w:ascii="Arial" w:hAnsi="Arial" w:cs="Arial"/>
            <w:b/>
            <w:bCs/>
            <w:color w:val="ED7D31" w:themeColor="accent2"/>
            <w:sz w:val="20"/>
            <w:szCs w:val="20"/>
            <w:u w:val="none"/>
            <w:shd w:val="clear" w:color="auto" w:fill="FFFFFF"/>
          </w:rPr>
          <w:t>Industrial Designs</w:t>
        </w:r>
      </w:hyperlink>
      <w:r w:rsidRPr="00027223">
        <w:rPr>
          <w:rStyle w:val="Hyperlink"/>
          <w:color w:val="000000" w:themeColor="text1"/>
          <w:u w:val="none"/>
          <w:shd w:val="clear" w:color="auto" w:fill="FFFFFF"/>
        </w:rPr>
        <w:t>,</w:t>
      </w:r>
      <w:r w:rsidR="002D34F0">
        <w:rPr>
          <w:rFonts w:ascii="Arial" w:hAnsi="Arial" w:cs="Arial"/>
          <w:b/>
          <w:bCs/>
          <w:sz w:val="20"/>
          <w:szCs w:val="20"/>
        </w:rPr>
        <w:t xml:space="preserve"> </w:t>
      </w:r>
      <w:hyperlink r:id="rId10" w:history="1">
        <w:r w:rsidRPr="00027223">
          <w:rPr>
            <w:rStyle w:val="Hyperlink"/>
            <w:rFonts w:ascii="Arial" w:hAnsi="Arial" w:cs="Arial"/>
            <w:b/>
            <w:bCs/>
            <w:color w:val="ED7D31" w:themeColor="accent2"/>
            <w:sz w:val="20"/>
            <w:szCs w:val="20"/>
            <w:u w:val="none"/>
            <w:shd w:val="clear" w:color="auto" w:fill="FFFFFF"/>
          </w:rPr>
          <w:t>Trademarks</w:t>
        </w:r>
      </w:hyperlink>
      <w:r w:rsidRPr="00027223">
        <w:rPr>
          <w:rStyle w:val="Hyperlink"/>
          <w:color w:val="ED7D31" w:themeColor="accent2"/>
          <w:u w:val="none"/>
          <w:shd w:val="clear" w:color="auto" w:fill="FFFFFF"/>
        </w:rPr>
        <w:t>,</w:t>
      </w:r>
      <w:r w:rsidRPr="007B2259">
        <w:rPr>
          <w:rFonts w:ascii="Arial" w:hAnsi="Arial" w:cs="Arial"/>
          <w:b/>
          <w:bCs/>
          <w:sz w:val="20"/>
          <w:szCs w:val="20"/>
        </w:rPr>
        <w:t xml:space="preserve"> </w:t>
      </w:r>
      <w:r w:rsidRPr="007B2259">
        <w:rPr>
          <w:rFonts w:ascii="Arial" w:hAnsi="Arial" w:cs="Arial"/>
          <w:sz w:val="20"/>
          <w:szCs w:val="20"/>
        </w:rPr>
        <w:t xml:space="preserve">and </w:t>
      </w:r>
      <w:hyperlink r:id="rId11" w:history="1">
        <w:r w:rsidRPr="00027223">
          <w:rPr>
            <w:rStyle w:val="Hyperlink"/>
            <w:rFonts w:ascii="Arial" w:hAnsi="Arial" w:cs="Arial"/>
            <w:b/>
            <w:bCs/>
            <w:color w:val="ED7D31" w:themeColor="accent2"/>
            <w:sz w:val="20"/>
            <w:szCs w:val="20"/>
            <w:u w:val="none"/>
            <w:shd w:val="clear" w:color="auto" w:fill="FFFFFF"/>
          </w:rPr>
          <w:t>Geographical Indications</w:t>
        </w:r>
      </w:hyperlink>
      <w:r w:rsidRPr="00027223">
        <w:rPr>
          <w:rStyle w:val="Hyperlink"/>
          <w:b/>
          <w:bCs/>
          <w:color w:val="000000" w:themeColor="text1"/>
          <w:u w:val="none"/>
          <w:shd w:val="clear" w:color="auto" w:fill="FFFFFF"/>
        </w:rPr>
        <w:t>.</w:t>
      </w:r>
    </w:p>
    <w:p w14:paraId="6DD18123" w14:textId="222609D0" w:rsidR="00CB75A2" w:rsidRPr="00C14D1C" w:rsidRDefault="00CB75A2" w:rsidP="00CB75A2">
      <w:pPr>
        <w:jc w:val="both"/>
        <w:rPr>
          <w:rFonts w:ascii="Arial" w:hAnsi="Arial" w:cs="Arial"/>
          <w:sz w:val="20"/>
          <w:szCs w:val="20"/>
        </w:rPr>
      </w:pPr>
      <w:r w:rsidRPr="007B2259">
        <w:rPr>
          <w:rFonts w:ascii="Arial" w:hAnsi="Arial" w:cs="Arial"/>
          <w:sz w:val="20"/>
          <w:szCs w:val="20"/>
        </w:rPr>
        <w:t>Our firm, KENFOX IP &amp; Law Office, provides detailed statistics on VIPRI's IP assessment</w:t>
      </w:r>
      <w:r>
        <w:rPr>
          <w:rFonts w:ascii="Arial" w:hAnsi="Arial" w:cs="Arial"/>
          <w:sz w:val="20"/>
          <w:szCs w:val="20"/>
        </w:rPr>
        <w:t>/</w:t>
      </w:r>
      <w:r w:rsidRPr="007B2259">
        <w:rPr>
          <w:rFonts w:ascii="Arial" w:hAnsi="Arial" w:cs="Arial"/>
          <w:sz w:val="20"/>
          <w:szCs w:val="20"/>
        </w:rPr>
        <w:t>expertise opinions, which illustrate the importance of VIPRI's role in IPR enforcement and dispute resolution in Vietnam. By providing expert guidance and support to both IPR holders and alleged infringers, VIPRI helps to promote fair and effective protection of intellectual property rights in Vietnam.</w:t>
      </w:r>
    </w:p>
    <w:p w14:paraId="490DCB92" w14:textId="285331FA" w:rsidR="00CB75A2" w:rsidRPr="00C14D1C" w:rsidRDefault="00CB75A2" w:rsidP="00CB75A2">
      <w:pPr>
        <w:jc w:val="both"/>
        <w:rPr>
          <w:rFonts w:ascii="Arial" w:hAnsi="Arial" w:cs="Arial"/>
          <w:sz w:val="20"/>
          <w:szCs w:val="20"/>
        </w:rPr>
      </w:pPr>
      <w:proofErr w:type="spellStart"/>
      <w:r w:rsidRPr="00C14D1C">
        <w:rPr>
          <w:rFonts w:ascii="Arial" w:hAnsi="Arial" w:cs="Arial"/>
          <w:sz w:val="20"/>
          <w:szCs w:val="20"/>
        </w:rPr>
        <w:t>Satistics</w:t>
      </w:r>
      <w:proofErr w:type="spellEnd"/>
      <w:r w:rsidRPr="00C14D1C">
        <w:rPr>
          <w:rFonts w:ascii="Arial" w:hAnsi="Arial" w:cs="Arial"/>
          <w:sz w:val="20"/>
          <w:szCs w:val="20"/>
        </w:rPr>
        <w:t xml:space="preserve"> about IPR assessment requests filed with VIPRI during 2009-2022</w:t>
      </w:r>
    </w:p>
    <w:tbl>
      <w:tblPr>
        <w:tblStyle w:val="TableGrid"/>
        <w:tblW w:w="0" w:type="auto"/>
        <w:tblLook w:val="04A0" w:firstRow="1" w:lastRow="0" w:firstColumn="1" w:lastColumn="0" w:noHBand="0" w:noVBand="1"/>
      </w:tblPr>
      <w:tblGrid>
        <w:gridCol w:w="715"/>
        <w:gridCol w:w="1890"/>
        <w:gridCol w:w="2069"/>
        <w:gridCol w:w="1558"/>
        <w:gridCol w:w="1559"/>
        <w:gridCol w:w="1559"/>
      </w:tblGrid>
      <w:tr w:rsidR="00CB75A2" w:rsidRPr="00C14D1C" w14:paraId="0522EAB2" w14:textId="77777777" w:rsidTr="00D7239E">
        <w:tc>
          <w:tcPr>
            <w:tcW w:w="715" w:type="dxa"/>
            <w:vMerge w:val="restart"/>
          </w:tcPr>
          <w:p w14:paraId="314781E6" w14:textId="77777777" w:rsidR="00CB75A2" w:rsidRPr="007B2259" w:rsidRDefault="00CB75A2" w:rsidP="00D7239E">
            <w:pPr>
              <w:jc w:val="both"/>
              <w:rPr>
                <w:rFonts w:ascii="Arial" w:hAnsi="Arial" w:cs="Arial"/>
                <w:b/>
                <w:bCs/>
                <w:sz w:val="20"/>
                <w:szCs w:val="20"/>
              </w:rPr>
            </w:pPr>
            <w:r w:rsidRPr="007B2259">
              <w:rPr>
                <w:rFonts w:ascii="Arial" w:hAnsi="Arial" w:cs="Arial"/>
                <w:b/>
                <w:bCs/>
                <w:sz w:val="20"/>
                <w:szCs w:val="20"/>
              </w:rPr>
              <w:t>Year</w:t>
            </w:r>
          </w:p>
        </w:tc>
        <w:tc>
          <w:tcPr>
            <w:tcW w:w="7076" w:type="dxa"/>
            <w:gridSpan w:val="4"/>
          </w:tcPr>
          <w:p w14:paraId="1F4F1093" w14:textId="77777777" w:rsidR="00CB75A2" w:rsidRPr="007B2259" w:rsidRDefault="00CB75A2" w:rsidP="00D7239E">
            <w:pPr>
              <w:jc w:val="center"/>
              <w:rPr>
                <w:rFonts w:ascii="Arial" w:hAnsi="Arial" w:cs="Arial"/>
                <w:b/>
                <w:bCs/>
                <w:sz w:val="20"/>
                <w:szCs w:val="20"/>
              </w:rPr>
            </w:pPr>
            <w:r w:rsidRPr="007B2259">
              <w:rPr>
                <w:rFonts w:ascii="Arial" w:hAnsi="Arial" w:cs="Arial"/>
                <w:b/>
                <w:bCs/>
                <w:sz w:val="20"/>
                <w:szCs w:val="20"/>
              </w:rPr>
              <w:t>Industrial Property Subject Matter</w:t>
            </w:r>
          </w:p>
        </w:tc>
        <w:tc>
          <w:tcPr>
            <w:tcW w:w="1559" w:type="dxa"/>
          </w:tcPr>
          <w:p w14:paraId="373B9DD6" w14:textId="77777777" w:rsidR="00CB75A2" w:rsidRPr="007B2259" w:rsidRDefault="00CB75A2" w:rsidP="00D7239E">
            <w:pPr>
              <w:jc w:val="both"/>
              <w:rPr>
                <w:rFonts w:ascii="Arial" w:hAnsi="Arial" w:cs="Arial"/>
                <w:b/>
                <w:bCs/>
                <w:sz w:val="20"/>
                <w:szCs w:val="20"/>
              </w:rPr>
            </w:pPr>
          </w:p>
        </w:tc>
      </w:tr>
      <w:tr w:rsidR="00CB75A2" w:rsidRPr="00C14D1C" w14:paraId="02B30EC8" w14:textId="77777777" w:rsidTr="00D7239E">
        <w:tc>
          <w:tcPr>
            <w:tcW w:w="715" w:type="dxa"/>
            <w:vMerge/>
          </w:tcPr>
          <w:p w14:paraId="27925AE0" w14:textId="77777777" w:rsidR="00CB75A2" w:rsidRPr="007B2259" w:rsidRDefault="00CB75A2" w:rsidP="00D7239E">
            <w:pPr>
              <w:jc w:val="both"/>
              <w:rPr>
                <w:rFonts w:ascii="Arial" w:hAnsi="Arial" w:cs="Arial"/>
                <w:b/>
                <w:bCs/>
                <w:sz w:val="20"/>
                <w:szCs w:val="20"/>
              </w:rPr>
            </w:pPr>
          </w:p>
        </w:tc>
        <w:tc>
          <w:tcPr>
            <w:tcW w:w="1890" w:type="dxa"/>
          </w:tcPr>
          <w:p w14:paraId="34B4FD4C" w14:textId="77777777" w:rsidR="00CB75A2" w:rsidRPr="007B2259" w:rsidRDefault="00CB75A2" w:rsidP="00D7239E">
            <w:pPr>
              <w:jc w:val="center"/>
              <w:rPr>
                <w:rFonts w:ascii="Arial" w:hAnsi="Arial" w:cs="Arial"/>
                <w:b/>
                <w:bCs/>
                <w:sz w:val="20"/>
                <w:szCs w:val="20"/>
              </w:rPr>
            </w:pPr>
            <w:r w:rsidRPr="007B2259">
              <w:rPr>
                <w:rFonts w:ascii="Arial" w:hAnsi="Arial" w:cs="Arial"/>
                <w:b/>
                <w:bCs/>
                <w:sz w:val="20"/>
                <w:szCs w:val="20"/>
              </w:rPr>
              <w:t>Patent</w:t>
            </w:r>
          </w:p>
        </w:tc>
        <w:tc>
          <w:tcPr>
            <w:tcW w:w="2069" w:type="dxa"/>
          </w:tcPr>
          <w:p w14:paraId="1E660FBF" w14:textId="77777777" w:rsidR="00CB75A2" w:rsidRPr="007B2259" w:rsidRDefault="00CB75A2" w:rsidP="00D7239E">
            <w:pPr>
              <w:jc w:val="center"/>
              <w:rPr>
                <w:rFonts w:ascii="Arial" w:hAnsi="Arial" w:cs="Arial"/>
                <w:b/>
                <w:bCs/>
                <w:sz w:val="20"/>
                <w:szCs w:val="20"/>
              </w:rPr>
            </w:pPr>
            <w:r w:rsidRPr="007B2259">
              <w:rPr>
                <w:rFonts w:ascii="Arial" w:hAnsi="Arial" w:cs="Arial"/>
                <w:b/>
                <w:bCs/>
                <w:sz w:val="20"/>
                <w:szCs w:val="20"/>
              </w:rPr>
              <w:t>Industrial Design</w:t>
            </w:r>
          </w:p>
        </w:tc>
        <w:tc>
          <w:tcPr>
            <w:tcW w:w="1558" w:type="dxa"/>
          </w:tcPr>
          <w:p w14:paraId="4C76E2A2" w14:textId="77777777" w:rsidR="00CB75A2" w:rsidRPr="007B2259" w:rsidRDefault="00CB75A2" w:rsidP="00D7239E">
            <w:pPr>
              <w:jc w:val="center"/>
              <w:rPr>
                <w:rFonts w:ascii="Arial" w:hAnsi="Arial" w:cs="Arial"/>
                <w:b/>
                <w:bCs/>
                <w:sz w:val="20"/>
                <w:szCs w:val="20"/>
              </w:rPr>
            </w:pPr>
            <w:r w:rsidRPr="007B2259">
              <w:rPr>
                <w:rFonts w:ascii="Arial" w:hAnsi="Arial" w:cs="Arial"/>
                <w:b/>
                <w:bCs/>
                <w:sz w:val="20"/>
                <w:szCs w:val="20"/>
              </w:rPr>
              <w:t>Trademark</w:t>
            </w:r>
          </w:p>
        </w:tc>
        <w:tc>
          <w:tcPr>
            <w:tcW w:w="1559" w:type="dxa"/>
          </w:tcPr>
          <w:p w14:paraId="07E14F4D" w14:textId="77777777" w:rsidR="00CB75A2" w:rsidRPr="007B2259" w:rsidRDefault="00CB75A2" w:rsidP="00D7239E">
            <w:pPr>
              <w:jc w:val="center"/>
              <w:rPr>
                <w:rFonts w:ascii="Arial" w:hAnsi="Arial" w:cs="Arial"/>
                <w:b/>
                <w:bCs/>
                <w:sz w:val="20"/>
                <w:szCs w:val="20"/>
              </w:rPr>
            </w:pPr>
            <w:r w:rsidRPr="007B2259">
              <w:rPr>
                <w:rFonts w:ascii="Arial" w:hAnsi="Arial" w:cs="Arial"/>
                <w:b/>
                <w:bCs/>
                <w:sz w:val="20"/>
                <w:szCs w:val="20"/>
              </w:rPr>
              <w:t>Geographical Indication</w:t>
            </w:r>
          </w:p>
        </w:tc>
        <w:tc>
          <w:tcPr>
            <w:tcW w:w="1559" w:type="dxa"/>
          </w:tcPr>
          <w:p w14:paraId="69ABE668" w14:textId="77777777" w:rsidR="00CB75A2" w:rsidRPr="007B2259" w:rsidRDefault="00CB75A2" w:rsidP="00D7239E">
            <w:pPr>
              <w:jc w:val="center"/>
              <w:rPr>
                <w:rFonts w:ascii="Arial" w:hAnsi="Arial" w:cs="Arial"/>
                <w:b/>
                <w:bCs/>
                <w:sz w:val="20"/>
                <w:szCs w:val="20"/>
              </w:rPr>
            </w:pPr>
            <w:r w:rsidRPr="007B2259">
              <w:rPr>
                <w:rFonts w:ascii="Arial" w:hAnsi="Arial" w:cs="Arial"/>
                <w:b/>
                <w:bCs/>
                <w:sz w:val="20"/>
                <w:szCs w:val="20"/>
              </w:rPr>
              <w:t>Total</w:t>
            </w:r>
          </w:p>
        </w:tc>
      </w:tr>
      <w:tr w:rsidR="00CB75A2" w:rsidRPr="00C14D1C" w14:paraId="2D4B021F" w14:textId="77777777" w:rsidTr="00D7239E">
        <w:tc>
          <w:tcPr>
            <w:tcW w:w="715" w:type="dxa"/>
          </w:tcPr>
          <w:p w14:paraId="2A4AD0D2" w14:textId="77777777" w:rsidR="00CB75A2" w:rsidRPr="00C14D1C" w:rsidRDefault="00CB75A2" w:rsidP="00D7239E">
            <w:pPr>
              <w:jc w:val="both"/>
              <w:rPr>
                <w:rFonts w:ascii="Arial" w:hAnsi="Arial" w:cs="Arial"/>
                <w:sz w:val="20"/>
                <w:szCs w:val="20"/>
              </w:rPr>
            </w:pPr>
            <w:r w:rsidRPr="00C14D1C">
              <w:rPr>
                <w:rFonts w:ascii="Arial" w:hAnsi="Arial" w:cs="Arial"/>
                <w:sz w:val="20"/>
                <w:szCs w:val="20"/>
              </w:rPr>
              <w:t>2009</w:t>
            </w:r>
          </w:p>
        </w:tc>
        <w:tc>
          <w:tcPr>
            <w:tcW w:w="1890" w:type="dxa"/>
          </w:tcPr>
          <w:p w14:paraId="1339CAAE"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26</w:t>
            </w:r>
          </w:p>
        </w:tc>
        <w:tc>
          <w:tcPr>
            <w:tcW w:w="2069" w:type="dxa"/>
          </w:tcPr>
          <w:p w14:paraId="2B213D25"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59</w:t>
            </w:r>
          </w:p>
        </w:tc>
        <w:tc>
          <w:tcPr>
            <w:tcW w:w="1558" w:type="dxa"/>
          </w:tcPr>
          <w:p w14:paraId="3533764E"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107</w:t>
            </w:r>
          </w:p>
        </w:tc>
        <w:tc>
          <w:tcPr>
            <w:tcW w:w="1559" w:type="dxa"/>
          </w:tcPr>
          <w:p w14:paraId="124E5B37"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0</w:t>
            </w:r>
          </w:p>
        </w:tc>
        <w:tc>
          <w:tcPr>
            <w:tcW w:w="1559" w:type="dxa"/>
          </w:tcPr>
          <w:p w14:paraId="630E0E64"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192</w:t>
            </w:r>
          </w:p>
        </w:tc>
      </w:tr>
      <w:tr w:rsidR="00CB75A2" w:rsidRPr="00C14D1C" w14:paraId="14B40C9C" w14:textId="77777777" w:rsidTr="00D7239E">
        <w:tc>
          <w:tcPr>
            <w:tcW w:w="715" w:type="dxa"/>
          </w:tcPr>
          <w:p w14:paraId="319D3967" w14:textId="77777777" w:rsidR="00CB75A2" w:rsidRPr="00C14D1C" w:rsidRDefault="00CB75A2" w:rsidP="00D7239E">
            <w:pPr>
              <w:jc w:val="both"/>
              <w:rPr>
                <w:rFonts w:ascii="Arial" w:hAnsi="Arial" w:cs="Arial"/>
                <w:sz w:val="20"/>
                <w:szCs w:val="20"/>
              </w:rPr>
            </w:pPr>
            <w:r w:rsidRPr="00C14D1C">
              <w:rPr>
                <w:rFonts w:ascii="Arial" w:hAnsi="Arial" w:cs="Arial"/>
                <w:sz w:val="20"/>
                <w:szCs w:val="20"/>
              </w:rPr>
              <w:t>2010</w:t>
            </w:r>
          </w:p>
        </w:tc>
        <w:tc>
          <w:tcPr>
            <w:tcW w:w="1890" w:type="dxa"/>
          </w:tcPr>
          <w:p w14:paraId="77AFEB99"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24</w:t>
            </w:r>
          </w:p>
        </w:tc>
        <w:tc>
          <w:tcPr>
            <w:tcW w:w="2069" w:type="dxa"/>
          </w:tcPr>
          <w:p w14:paraId="32EE3BDA"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52</w:t>
            </w:r>
          </w:p>
        </w:tc>
        <w:tc>
          <w:tcPr>
            <w:tcW w:w="1558" w:type="dxa"/>
          </w:tcPr>
          <w:p w14:paraId="787AE9FE"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258</w:t>
            </w:r>
          </w:p>
        </w:tc>
        <w:tc>
          <w:tcPr>
            <w:tcW w:w="1559" w:type="dxa"/>
          </w:tcPr>
          <w:p w14:paraId="1E6FA046"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0</w:t>
            </w:r>
          </w:p>
        </w:tc>
        <w:tc>
          <w:tcPr>
            <w:tcW w:w="1559" w:type="dxa"/>
          </w:tcPr>
          <w:p w14:paraId="3B645F98"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334</w:t>
            </w:r>
          </w:p>
        </w:tc>
      </w:tr>
      <w:tr w:rsidR="00CB75A2" w:rsidRPr="00C14D1C" w14:paraId="4F79A6E8" w14:textId="77777777" w:rsidTr="00D7239E">
        <w:tc>
          <w:tcPr>
            <w:tcW w:w="715" w:type="dxa"/>
          </w:tcPr>
          <w:p w14:paraId="5A546D99" w14:textId="77777777" w:rsidR="00CB75A2" w:rsidRPr="00C14D1C" w:rsidRDefault="00CB75A2" w:rsidP="00D7239E">
            <w:pPr>
              <w:jc w:val="both"/>
              <w:rPr>
                <w:rFonts w:ascii="Arial" w:hAnsi="Arial" w:cs="Arial"/>
                <w:sz w:val="20"/>
                <w:szCs w:val="20"/>
              </w:rPr>
            </w:pPr>
            <w:r w:rsidRPr="00C14D1C">
              <w:rPr>
                <w:rFonts w:ascii="Arial" w:hAnsi="Arial" w:cs="Arial"/>
                <w:sz w:val="20"/>
                <w:szCs w:val="20"/>
              </w:rPr>
              <w:t>2011</w:t>
            </w:r>
          </w:p>
        </w:tc>
        <w:tc>
          <w:tcPr>
            <w:tcW w:w="1890" w:type="dxa"/>
          </w:tcPr>
          <w:p w14:paraId="73FD77DF"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11</w:t>
            </w:r>
          </w:p>
        </w:tc>
        <w:tc>
          <w:tcPr>
            <w:tcW w:w="2069" w:type="dxa"/>
          </w:tcPr>
          <w:p w14:paraId="5DEC986D"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81</w:t>
            </w:r>
          </w:p>
        </w:tc>
        <w:tc>
          <w:tcPr>
            <w:tcW w:w="1558" w:type="dxa"/>
          </w:tcPr>
          <w:p w14:paraId="58A07586"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305</w:t>
            </w:r>
          </w:p>
        </w:tc>
        <w:tc>
          <w:tcPr>
            <w:tcW w:w="1559" w:type="dxa"/>
          </w:tcPr>
          <w:p w14:paraId="1EC96D0C"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0</w:t>
            </w:r>
          </w:p>
        </w:tc>
        <w:tc>
          <w:tcPr>
            <w:tcW w:w="1559" w:type="dxa"/>
          </w:tcPr>
          <w:p w14:paraId="30693742"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397</w:t>
            </w:r>
          </w:p>
        </w:tc>
      </w:tr>
      <w:tr w:rsidR="00CB75A2" w:rsidRPr="00C14D1C" w14:paraId="3CD26514" w14:textId="77777777" w:rsidTr="00D7239E">
        <w:tc>
          <w:tcPr>
            <w:tcW w:w="715" w:type="dxa"/>
          </w:tcPr>
          <w:p w14:paraId="0904FA83" w14:textId="77777777" w:rsidR="00CB75A2" w:rsidRPr="00C14D1C" w:rsidRDefault="00CB75A2" w:rsidP="00D7239E">
            <w:pPr>
              <w:jc w:val="both"/>
              <w:rPr>
                <w:rFonts w:ascii="Arial" w:hAnsi="Arial" w:cs="Arial"/>
                <w:sz w:val="20"/>
                <w:szCs w:val="20"/>
              </w:rPr>
            </w:pPr>
            <w:r w:rsidRPr="00C14D1C">
              <w:rPr>
                <w:rFonts w:ascii="Arial" w:hAnsi="Arial" w:cs="Arial"/>
                <w:sz w:val="20"/>
                <w:szCs w:val="20"/>
              </w:rPr>
              <w:t>2012</w:t>
            </w:r>
          </w:p>
        </w:tc>
        <w:tc>
          <w:tcPr>
            <w:tcW w:w="1890" w:type="dxa"/>
          </w:tcPr>
          <w:p w14:paraId="1F0B1A1B"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02</w:t>
            </w:r>
          </w:p>
        </w:tc>
        <w:tc>
          <w:tcPr>
            <w:tcW w:w="2069" w:type="dxa"/>
          </w:tcPr>
          <w:p w14:paraId="07F53F3A"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83</w:t>
            </w:r>
          </w:p>
        </w:tc>
        <w:tc>
          <w:tcPr>
            <w:tcW w:w="1558" w:type="dxa"/>
          </w:tcPr>
          <w:p w14:paraId="66873722"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376</w:t>
            </w:r>
          </w:p>
        </w:tc>
        <w:tc>
          <w:tcPr>
            <w:tcW w:w="1559" w:type="dxa"/>
          </w:tcPr>
          <w:p w14:paraId="6C5B13DA"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0</w:t>
            </w:r>
          </w:p>
        </w:tc>
        <w:tc>
          <w:tcPr>
            <w:tcW w:w="1559" w:type="dxa"/>
          </w:tcPr>
          <w:p w14:paraId="7D157FBD"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461</w:t>
            </w:r>
          </w:p>
        </w:tc>
      </w:tr>
      <w:tr w:rsidR="00CB75A2" w:rsidRPr="00C14D1C" w14:paraId="543EFF95" w14:textId="77777777" w:rsidTr="00D7239E">
        <w:tc>
          <w:tcPr>
            <w:tcW w:w="715" w:type="dxa"/>
          </w:tcPr>
          <w:p w14:paraId="6E7C8E00" w14:textId="77777777" w:rsidR="00CB75A2" w:rsidRPr="00C14D1C" w:rsidRDefault="00CB75A2" w:rsidP="00D7239E">
            <w:pPr>
              <w:jc w:val="both"/>
              <w:rPr>
                <w:rFonts w:ascii="Arial" w:hAnsi="Arial" w:cs="Arial"/>
                <w:sz w:val="20"/>
                <w:szCs w:val="20"/>
              </w:rPr>
            </w:pPr>
            <w:r w:rsidRPr="00C14D1C">
              <w:rPr>
                <w:rFonts w:ascii="Arial" w:hAnsi="Arial" w:cs="Arial"/>
                <w:sz w:val="20"/>
                <w:szCs w:val="20"/>
              </w:rPr>
              <w:t>2013</w:t>
            </w:r>
          </w:p>
        </w:tc>
        <w:tc>
          <w:tcPr>
            <w:tcW w:w="1890" w:type="dxa"/>
          </w:tcPr>
          <w:p w14:paraId="3B6078C2"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22</w:t>
            </w:r>
          </w:p>
        </w:tc>
        <w:tc>
          <w:tcPr>
            <w:tcW w:w="2069" w:type="dxa"/>
          </w:tcPr>
          <w:p w14:paraId="7F056D89"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46</w:t>
            </w:r>
          </w:p>
        </w:tc>
        <w:tc>
          <w:tcPr>
            <w:tcW w:w="1558" w:type="dxa"/>
          </w:tcPr>
          <w:p w14:paraId="0E48106B"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388</w:t>
            </w:r>
          </w:p>
        </w:tc>
        <w:tc>
          <w:tcPr>
            <w:tcW w:w="1559" w:type="dxa"/>
          </w:tcPr>
          <w:p w14:paraId="7DAA7EDB"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0</w:t>
            </w:r>
          </w:p>
        </w:tc>
        <w:tc>
          <w:tcPr>
            <w:tcW w:w="1559" w:type="dxa"/>
          </w:tcPr>
          <w:p w14:paraId="10D19B49"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456</w:t>
            </w:r>
          </w:p>
        </w:tc>
      </w:tr>
      <w:tr w:rsidR="00CB75A2" w:rsidRPr="00C14D1C" w14:paraId="48E04868" w14:textId="77777777" w:rsidTr="00D7239E">
        <w:tc>
          <w:tcPr>
            <w:tcW w:w="715" w:type="dxa"/>
          </w:tcPr>
          <w:p w14:paraId="0FDFDC96" w14:textId="77777777" w:rsidR="00CB75A2" w:rsidRPr="00C14D1C" w:rsidRDefault="00CB75A2" w:rsidP="00D7239E">
            <w:pPr>
              <w:jc w:val="both"/>
              <w:rPr>
                <w:rFonts w:ascii="Arial" w:hAnsi="Arial" w:cs="Arial"/>
                <w:sz w:val="20"/>
                <w:szCs w:val="20"/>
              </w:rPr>
            </w:pPr>
            <w:r w:rsidRPr="00C14D1C">
              <w:rPr>
                <w:rFonts w:ascii="Arial" w:hAnsi="Arial" w:cs="Arial"/>
                <w:sz w:val="20"/>
                <w:szCs w:val="20"/>
              </w:rPr>
              <w:t>2014</w:t>
            </w:r>
          </w:p>
        </w:tc>
        <w:tc>
          <w:tcPr>
            <w:tcW w:w="1890" w:type="dxa"/>
          </w:tcPr>
          <w:p w14:paraId="1A1E17B9"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11</w:t>
            </w:r>
          </w:p>
        </w:tc>
        <w:tc>
          <w:tcPr>
            <w:tcW w:w="2069" w:type="dxa"/>
          </w:tcPr>
          <w:p w14:paraId="0F80D4A6"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84</w:t>
            </w:r>
          </w:p>
        </w:tc>
        <w:tc>
          <w:tcPr>
            <w:tcW w:w="1558" w:type="dxa"/>
          </w:tcPr>
          <w:p w14:paraId="5C6A9FDF"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477</w:t>
            </w:r>
          </w:p>
        </w:tc>
        <w:tc>
          <w:tcPr>
            <w:tcW w:w="1559" w:type="dxa"/>
          </w:tcPr>
          <w:p w14:paraId="0184175D"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1</w:t>
            </w:r>
          </w:p>
        </w:tc>
        <w:tc>
          <w:tcPr>
            <w:tcW w:w="1559" w:type="dxa"/>
          </w:tcPr>
          <w:p w14:paraId="43810D19"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573</w:t>
            </w:r>
          </w:p>
        </w:tc>
      </w:tr>
      <w:tr w:rsidR="00CB75A2" w:rsidRPr="00C14D1C" w14:paraId="223EC82A" w14:textId="77777777" w:rsidTr="00D7239E">
        <w:tc>
          <w:tcPr>
            <w:tcW w:w="715" w:type="dxa"/>
          </w:tcPr>
          <w:p w14:paraId="5F46984B" w14:textId="77777777" w:rsidR="00CB75A2" w:rsidRPr="00C14D1C" w:rsidRDefault="00CB75A2" w:rsidP="00D7239E">
            <w:pPr>
              <w:jc w:val="both"/>
              <w:rPr>
                <w:rFonts w:ascii="Arial" w:hAnsi="Arial" w:cs="Arial"/>
                <w:sz w:val="20"/>
                <w:szCs w:val="20"/>
              </w:rPr>
            </w:pPr>
            <w:r w:rsidRPr="00C14D1C">
              <w:rPr>
                <w:rFonts w:ascii="Arial" w:hAnsi="Arial" w:cs="Arial"/>
                <w:sz w:val="20"/>
                <w:szCs w:val="20"/>
              </w:rPr>
              <w:t>2015</w:t>
            </w:r>
          </w:p>
        </w:tc>
        <w:tc>
          <w:tcPr>
            <w:tcW w:w="1890" w:type="dxa"/>
          </w:tcPr>
          <w:p w14:paraId="324D5F45"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13</w:t>
            </w:r>
          </w:p>
        </w:tc>
        <w:tc>
          <w:tcPr>
            <w:tcW w:w="2069" w:type="dxa"/>
          </w:tcPr>
          <w:p w14:paraId="5D4CB4BA"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99</w:t>
            </w:r>
          </w:p>
        </w:tc>
        <w:tc>
          <w:tcPr>
            <w:tcW w:w="1558" w:type="dxa"/>
          </w:tcPr>
          <w:p w14:paraId="62BE3B87"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600</w:t>
            </w:r>
          </w:p>
        </w:tc>
        <w:tc>
          <w:tcPr>
            <w:tcW w:w="1559" w:type="dxa"/>
          </w:tcPr>
          <w:p w14:paraId="36FEA2D4"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1</w:t>
            </w:r>
          </w:p>
        </w:tc>
        <w:tc>
          <w:tcPr>
            <w:tcW w:w="1559" w:type="dxa"/>
          </w:tcPr>
          <w:p w14:paraId="61B9715C"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713</w:t>
            </w:r>
          </w:p>
        </w:tc>
      </w:tr>
      <w:tr w:rsidR="00CB75A2" w:rsidRPr="00C14D1C" w14:paraId="69F414A9" w14:textId="77777777" w:rsidTr="00D7239E">
        <w:tc>
          <w:tcPr>
            <w:tcW w:w="715" w:type="dxa"/>
          </w:tcPr>
          <w:p w14:paraId="5D91C2C1" w14:textId="77777777" w:rsidR="00CB75A2" w:rsidRPr="00C14D1C" w:rsidRDefault="00CB75A2" w:rsidP="00D7239E">
            <w:pPr>
              <w:jc w:val="both"/>
              <w:rPr>
                <w:rFonts w:ascii="Arial" w:hAnsi="Arial" w:cs="Arial"/>
                <w:sz w:val="20"/>
                <w:szCs w:val="20"/>
              </w:rPr>
            </w:pPr>
            <w:r w:rsidRPr="00C14D1C">
              <w:rPr>
                <w:rFonts w:ascii="Arial" w:hAnsi="Arial" w:cs="Arial"/>
                <w:sz w:val="20"/>
                <w:szCs w:val="20"/>
              </w:rPr>
              <w:t>2016</w:t>
            </w:r>
          </w:p>
        </w:tc>
        <w:tc>
          <w:tcPr>
            <w:tcW w:w="1890" w:type="dxa"/>
          </w:tcPr>
          <w:p w14:paraId="3BE95B9A"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21</w:t>
            </w:r>
          </w:p>
        </w:tc>
        <w:tc>
          <w:tcPr>
            <w:tcW w:w="2069" w:type="dxa"/>
          </w:tcPr>
          <w:p w14:paraId="026BF598"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117</w:t>
            </w:r>
          </w:p>
        </w:tc>
        <w:tc>
          <w:tcPr>
            <w:tcW w:w="1558" w:type="dxa"/>
          </w:tcPr>
          <w:p w14:paraId="02B9891C"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565</w:t>
            </w:r>
          </w:p>
        </w:tc>
        <w:tc>
          <w:tcPr>
            <w:tcW w:w="1559" w:type="dxa"/>
          </w:tcPr>
          <w:p w14:paraId="22CDB631"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0</w:t>
            </w:r>
          </w:p>
        </w:tc>
        <w:tc>
          <w:tcPr>
            <w:tcW w:w="1559" w:type="dxa"/>
          </w:tcPr>
          <w:p w14:paraId="48D3370F"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703</w:t>
            </w:r>
          </w:p>
        </w:tc>
      </w:tr>
      <w:tr w:rsidR="00CB75A2" w:rsidRPr="00C14D1C" w14:paraId="56D35E4B" w14:textId="77777777" w:rsidTr="00D7239E">
        <w:tc>
          <w:tcPr>
            <w:tcW w:w="715" w:type="dxa"/>
          </w:tcPr>
          <w:p w14:paraId="53C98BE8" w14:textId="77777777" w:rsidR="00CB75A2" w:rsidRPr="00C14D1C" w:rsidRDefault="00CB75A2" w:rsidP="00D7239E">
            <w:pPr>
              <w:jc w:val="both"/>
              <w:rPr>
                <w:rFonts w:ascii="Arial" w:hAnsi="Arial" w:cs="Arial"/>
                <w:sz w:val="20"/>
                <w:szCs w:val="20"/>
              </w:rPr>
            </w:pPr>
            <w:r w:rsidRPr="00C14D1C">
              <w:rPr>
                <w:rFonts w:ascii="Arial" w:hAnsi="Arial" w:cs="Arial"/>
                <w:sz w:val="20"/>
                <w:szCs w:val="20"/>
              </w:rPr>
              <w:t>2017</w:t>
            </w:r>
          </w:p>
        </w:tc>
        <w:tc>
          <w:tcPr>
            <w:tcW w:w="1890" w:type="dxa"/>
          </w:tcPr>
          <w:p w14:paraId="76092E6D"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30</w:t>
            </w:r>
          </w:p>
        </w:tc>
        <w:tc>
          <w:tcPr>
            <w:tcW w:w="2069" w:type="dxa"/>
          </w:tcPr>
          <w:p w14:paraId="5947020F"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147</w:t>
            </w:r>
          </w:p>
        </w:tc>
        <w:tc>
          <w:tcPr>
            <w:tcW w:w="1558" w:type="dxa"/>
          </w:tcPr>
          <w:p w14:paraId="1426DA09"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632</w:t>
            </w:r>
          </w:p>
        </w:tc>
        <w:tc>
          <w:tcPr>
            <w:tcW w:w="1559" w:type="dxa"/>
          </w:tcPr>
          <w:p w14:paraId="318743EB"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2</w:t>
            </w:r>
          </w:p>
        </w:tc>
        <w:tc>
          <w:tcPr>
            <w:tcW w:w="1559" w:type="dxa"/>
          </w:tcPr>
          <w:p w14:paraId="2D454E23"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811</w:t>
            </w:r>
          </w:p>
        </w:tc>
      </w:tr>
      <w:tr w:rsidR="00CB75A2" w:rsidRPr="00C14D1C" w14:paraId="1D1C7CBE" w14:textId="77777777" w:rsidTr="00D7239E">
        <w:tc>
          <w:tcPr>
            <w:tcW w:w="715" w:type="dxa"/>
          </w:tcPr>
          <w:p w14:paraId="05D54B53" w14:textId="77777777" w:rsidR="00CB75A2" w:rsidRPr="00C14D1C" w:rsidRDefault="00CB75A2" w:rsidP="00D7239E">
            <w:pPr>
              <w:jc w:val="both"/>
              <w:rPr>
                <w:rFonts w:ascii="Arial" w:hAnsi="Arial" w:cs="Arial"/>
                <w:sz w:val="20"/>
                <w:szCs w:val="20"/>
              </w:rPr>
            </w:pPr>
            <w:r w:rsidRPr="00C14D1C">
              <w:rPr>
                <w:rFonts w:ascii="Arial" w:hAnsi="Arial" w:cs="Arial"/>
                <w:sz w:val="20"/>
                <w:szCs w:val="20"/>
              </w:rPr>
              <w:t>2018</w:t>
            </w:r>
          </w:p>
        </w:tc>
        <w:tc>
          <w:tcPr>
            <w:tcW w:w="1890" w:type="dxa"/>
          </w:tcPr>
          <w:p w14:paraId="62B76E17"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28</w:t>
            </w:r>
          </w:p>
        </w:tc>
        <w:tc>
          <w:tcPr>
            <w:tcW w:w="2069" w:type="dxa"/>
          </w:tcPr>
          <w:p w14:paraId="32075860"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112</w:t>
            </w:r>
          </w:p>
        </w:tc>
        <w:tc>
          <w:tcPr>
            <w:tcW w:w="1558" w:type="dxa"/>
          </w:tcPr>
          <w:p w14:paraId="5ED6238E"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687</w:t>
            </w:r>
          </w:p>
        </w:tc>
        <w:tc>
          <w:tcPr>
            <w:tcW w:w="1559" w:type="dxa"/>
          </w:tcPr>
          <w:p w14:paraId="581EDFC4"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0</w:t>
            </w:r>
          </w:p>
        </w:tc>
        <w:tc>
          <w:tcPr>
            <w:tcW w:w="1559" w:type="dxa"/>
          </w:tcPr>
          <w:p w14:paraId="337B5299"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827</w:t>
            </w:r>
          </w:p>
        </w:tc>
      </w:tr>
      <w:tr w:rsidR="00CB75A2" w:rsidRPr="00C14D1C" w14:paraId="3C8088FE" w14:textId="77777777" w:rsidTr="00D7239E">
        <w:tc>
          <w:tcPr>
            <w:tcW w:w="715" w:type="dxa"/>
          </w:tcPr>
          <w:p w14:paraId="68EA5199" w14:textId="77777777" w:rsidR="00CB75A2" w:rsidRPr="00C14D1C" w:rsidRDefault="00CB75A2" w:rsidP="00D7239E">
            <w:pPr>
              <w:jc w:val="both"/>
              <w:rPr>
                <w:rFonts w:ascii="Arial" w:hAnsi="Arial" w:cs="Arial"/>
                <w:sz w:val="20"/>
                <w:szCs w:val="20"/>
              </w:rPr>
            </w:pPr>
            <w:r w:rsidRPr="00C14D1C">
              <w:rPr>
                <w:rFonts w:ascii="Arial" w:hAnsi="Arial" w:cs="Arial"/>
                <w:sz w:val="20"/>
                <w:szCs w:val="20"/>
              </w:rPr>
              <w:t>2019</w:t>
            </w:r>
          </w:p>
        </w:tc>
        <w:tc>
          <w:tcPr>
            <w:tcW w:w="1890" w:type="dxa"/>
          </w:tcPr>
          <w:p w14:paraId="00494CDA"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23</w:t>
            </w:r>
          </w:p>
        </w:tc>
        <w:tc>
          <w:tcPr>
            <w:tcW w:w="2069" w:type="dxa"/>
          </w:tcPr>
          <w:p w14:paraId="1715FAC0"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111</w:t>
            </w:r>
          </w:p>
        </w:tc>
        <w:tc>
          <w:tcPr>
            <w:tcW w:w="1558" w:type="dxa"/>
          </w:tcPr>
          <w:p w14:paraId="41414A07"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884</w:t>
            </w:r>
          </w:p>
        </w:tc>
        <w:tc>
          <w:tcPr>
            <w:tcW w:w="1559" w:type="dxa"/>
          </w:tcPr>
          <w:p w14:paraId="00C1D22F"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0</w:t>
            </w:r>
          </w:p>
        </w:tc>
        <w:tc>
          <w:tcPr>
            <w:tcW w:w="1559" w:type="dxa"/>
          </w:tcPr>
          <w:p w14:paraId="26A90062"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1018</w:t>
            </w:r>
          </w:p>
        </w:tc>
      </w:tr>
      <w:tr w:rsidR="00CB75A2" w:rsidRPr="00C14D1C" w14:paraId="32C55B65" w14:textId="77777777" w:rsidTr="00D7239E">
        <w:tc>
          <w:tcPr>
            <w:tcW w:w="715" w:type="dxa"/>
          </w:tcPr>
          <w:p w14:paraId="2A145200" w14:textId="77777777" w:rsidR="00CB75A2" w:rsidRPr="00C14D1C" w:rsidRDefault="00CB75A2" w:rsidP="00D7239E">
            <w:pPr>
              <w:jc w:val="both"/>
              <w:rPr>
                <w:rFonts w:ascii="Arial" w:hAnsi="Arial" w:cs="Arial"/>
                <w:sz w:val="20"/>
                <w:szCs w:val="20"/>
              </w:rPr>
            </w:pPr>
            <w:r w:rsidRPr="00C14D1C">
              <w:rPr>
                <w:rFonts w:ascii="Arial" w:hAnsi="Arial" w:cs="Arial"/>
                <w:sz w:val="20"/>
                <w:szCs w:val="20"/>
              </w:rPr>
              <w:t>2020</w:t>
            </w:r>
          </w:p>
        </w:tc>
        <w:tc>
          <w:tcPr>
            <w:tcW w:w="1890" w:type="dxa"/>
          </w:tcPr>
          <w:p w14:paraId="689AA45D"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48</w:t>
            </w:r>
          </w:p>
        </w:tc>
        <w:tc>
          <w:tcPr>
            <w:tcW w:w="2069" w:type="dxa"/>
          </w:tcPr>
          <w:p w14:paraId="0FA05FE0"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140</w:t>
            </w:r>
          </w:p>
        </w:tc>
        <w:tc>
          <w:tcPr>
            <w:tcW w:w="1558" w:type="dxa"/>
          </w:tcPr>
          <w:p w14:paraId="168AD0EB"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904</w:t>
            </w:r>
          </w:p>
        </w:tc>
        <w:tc>
          <w:tcPr>
            <w:tcW w:w="1559" w:type="dxa"/>
          </w:tcPr>
          <w:p w14:paraId="667D9837"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2</w:t>
            </w:r>
          </w:p>
        </w:tc>
        <w:tc>
          <w:tcPr>
            <w:tcW w:w="1559" w:type="dxa"/>
          </w:tcPr>
          <w:p w14:paraId="7B4575CE"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1094</w:t>
            </w:r>
          </w:p>
        </w:tc>
      </w:tr>
      <w:tr w:rsidR="00CB75A2" w:rsidRPr="00C14D1C" w14:paraId="590D0326" w14:textId="77777777" w:rsidTr="00D7239E">
        <w:tc>
          <w:tcPr>
            <w:tcW w:w="715" w:type="dxa"/>
          </w:tcPr>
          <w:p w14:paraId="584FF966" w14:textId="77777777" w:rsidR="00CB75A2" w:rsidRPr="00C14D1C" w:rsidRDefault="00CB75A2" w:rsidP="00D7239E">
            <w:pPr>
              <w:jc w:val="both"/>
              <w:rPr>
                <w:rFonts w:ascii="Arial" w:hAnsi="Arial" w:cs="Arial"/>
                <w:sz w:val="20"/>
                <w:szCs w:val="20"/>
              </w:rPr>
            </w:pPr>
            <w:r w:rsidRPr="00C14D1C">
              <w:rPr>
                <w:rFonts w:ascii="Arial" w:hAnsi="Arial" w:cs="Arial"/>
                <w:sz w:val="20"/>
                <w:szCs w:val="20"/>
              </w:rPr>
              <w:t>2021</w:t>
            </w:r>
          </w:p>
        </w:tc>
        <w:tc>
          <w:tcPr>
            <w:tcW w:w="1890" w:type="dxa"/>
          </w:tcPr>
          <w:p w14:paraId="0F1F9161"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13</w:t>
            </w:r>
          </w:p>
        </w:tc>
        <w:tc>
          <w:tcPr>
            <w:tcW w:w="2069" w:type="dxa"/>
          </w:tcPr>
          <w:p w14:paraId="4918E91D"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110</w:t>
            </w:r>
          </w:p>
        </w:tc>
        <w:tc>
          <w:tcPr>
            <w:tcW w:w="1558" w:type="dxa"/>
          </w:tcPr>
          <w:p w14:paraId="5BB3E430"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938</w:t>
            </w:r>
          </w:p>
        </w:tc>
        <w:tc>
          <w:tcPr>
            <w:tcW w:w="1559" w:type="dxa"/>
          </w:tcPr>
          <w:p w14:paraId="1F45D96F"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0</w:t>
            </w:r>
          </w:p>
        </w:tc>
        <w:tc>
          <w:tcPr>
            <w:tcW w:w="1559" w:type="dxa"/>
          </w:tcPr>
          <w:p w14:paraId="55B3428D"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1064</w:t>
            </w:r>
          </w:p>
        </w:tc>
      </w:tr>
      <w:tr w:rsidR="00CB75A2" w:rsidRPr="00C14D1C" w14:paraId="5F233543" w14:textId="77777777" w:rsidTr="00D7239E">
        <w:tc>
          <w:tcPr>
            <w:tcW w:w="715" w:type="dxa"/>
          </w:tcPr>
          <w:p w14:paraId="633EA02B" w14:textId="77777777" w:rsidR="00CB75A2" w:rsidRPr="00C14D1C" w:rsidRDefault="00CB75A2" w:rsidP="00D7239E">
            <w:pPr>
              <w:jc w:val="both"/>
              <w:rPr>
                <w:rFonts w:ascii="Arial" w:hAnsi="Arial" w:cs="Arial"/>
                <w:sz w:val="20"/>
                <w:szCs w:val="20"/>
              </w:rPr>
            </w:pPr>
            <w:r w:rsidRPr="00C14D1C">
              <w:rPr>
                <w:rFonts w:ascii="Arial" w:hAnsi="Arial" w:cs="Arial"/>
                <w:sz w:val="20"/>
                <w:szCs w:val="20"/>
              </w:rPr>
              <w:t>2022</w:t>
            </w:r>
          </w:p>
        </w:tc>
        <w:tc>
          <w:tcPr>
            <w:tcW w:w="1890" w:type="dxa"/>
          </w:tcPr>
          <w:p w14:paraId="749389E1"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22</w:t>
            </w:r>
          </w:p>
        </w:tc>
        <w:tc>
          <w:tcPr>
            <w:tcW w:w="2069" w:type="dxa"/>
          </w:tcPr>
          <w:p w14:paraId="5B1D6B08"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129</w:t>
            </w:r>
          </w:p>
        </w:tc>
        <w:tc>
          <w:tcPr>
            <w:tcW w:w="1558" w:type="dxa"/>
          </w:tcPr>
          <w:p w14:paraId="129FFA22"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826</w:t>
            </w:r>
          </w:p>
        </w:tc>
        <w:tc>
          <w:tcPr>
            <w:tcW w:w="1559" w:type="dxa"/>
          </w:tcPr>
          <w:p w14:paraId="1E4BB73B"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2</w:t>
            </w:r>
          </w:p>
        </w:tc>
        <w:tc>
          <w:tcPr>
            <w:tcW w:w="1559" w:type="dxa"/>
          </w:tcPr>
          <w:p w14:paraId="59C113D8"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980</w:t>
            </w:r>
          </w:p>
        </w:tc>
      </w:tr>
      <w:tr w:rsidR="00CB75A2" w:rsidRPr="00C14D1C" w14:paraId="35EEEA4D" w14:textId="77777777" w:rsidTr="00D7239E">
        <w:tc>
          <w:tcPr>
            <w:tcW w:w="715" w:type="dxa"/>
          </w:tcPr>
          <w:p w14:paraId="64BF257A" w14:textId="77777777" w:rsidR="00CB75A2" w:rsidRPr="007B2259" w:rsidRDefault="00CB75A2" w:rsidP="00D7239E">
            <w:pPr>
              <w:jc w:val="both"/>
              <w:rPr>
                <w:rFonts w:ascii="Arial" w:hAnsi="Arial" w:cs="Arial"/>
                <w:b/>
                <w:bCs/>
                <w:sz w:val="20"/>
                <w:szCs w:val="20"/>
              </w:rPr>
            </w:pPr>
            <w:r w:rsidRPr="007B2259">
              <w:rPr>
                <w:rFonts w:ascii="Arial" w:hAnsi="Arial" w:cs="Arial"/>
                <w:b/>
                <w:bCs/>
                <w:sz w:val="20"/>
                <w:szCs w:val="20"/>
              </w:rPr>
              <w:t>Total</w:t>
            </w:r>
          </w:p>
        </w:tc>
        <w:tc>
          <w:tcPr>
            <w:tcW w:w="1890" w:type="dxa"/>
          </w:tcPr>
          <w:p w14:paraId="140DA6DE"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298</w:t>
            </w:r>
          </w:p>
        </w:tc>
        <w:tc>
          <w:tcPr>
            <w:tcW w:w="2069" w:type="dxa"/>
          </w:tcPr>
          <w:p w14:paraId="6AC75B8D"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1370</w:t>
            </w:r>
          </w:p>
        </w:tc>
        <w:tc>
          <w:tcPr>
            <w:tcW w:w="1558" w:type="dxa"/>
          </w:tcPr>
          <w:p w14:paraId="7D10264E"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7947</w:t>
            </w:r>
          </w:p>
        </w:tc>
        <w:tc>
          <w:tcPr>
            <w:tcW w:w="1559" w:type="dxa"/>
          </w:tcPr>
          <w:p w14:paraId="6F9A88BA"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8</w:t>
            </w:r>
          </w:p>
        </w:tc>
        <w:tc>
          <w:tcPr>
            <w:tcW w:w="1559" w:type="dxa"/>
          </w:tcPr>
          <w:p w14:paraId="167C344B" w14:textId="77777777" w:rsidR="00CB75A2" w:rsidRPr="00C14D1C" w:rsidRDefault="00CB75A2" w:rsidP="00D7239E">
            <w:pPr>
              <w:jc w:val="center"/>
              <w:rPr>
                <w:rFonts w:ascii="Arial" w:hAnsi="Arial" w:cs="Arial"/>
                <w:sz w:val="20"/>
                <w:szCs w:val="20"/>
              </w:rPr>
            </w:pPr>
            <w:r w:rsidRPr="00C14D1C">
              <w:rPr>
                <w:rFonts w:ascii="Arial" w:hAnsi="Arial" w:cs="Arial"/>
                <w:sz w:val="20"/>
                <w:szCs w:val="20"/>
              </w:rPr>
              <w:t>9623</w:t>
            </w:r>
          </w:p>
        </w:tc>
      </w:tr>
    </w:tbl>
    <w:p w14:paraId="25A50583" w14:textId="77777777" w:rsidR="00475467" w:rsidRDefault="00475467" w:rsidP="00CB75A2">
      <w:pPr>
        <w:jc w:val="both"/>
        <w:rPr>
          <w:rFonts w:ascii="Arial" w:hAnsi="Arial" w:cs="Arial"/>
          <w:b/>
          <w:bCs/>
          <w:sz w:val="20"/>
          <w:szCs w:val="20"/>
        </w:rPr>
      </w:pPr>
    </w:p>
    <w:p w14:paraId="305D259D" w14:textId="15562A64" w:rsidR="00CB75A2" w:rsidRPr="00475467" w:rsidRDefault="00CB75A2" w:rsidP="00CB75A2">
      <w:pPr>
        <w:jc w:val="both"/>
        <w:rPr>
          <w:rFonts w:ascii="Arial" w:hAnsi="Arial" w:cs="Arial"/>
          <w:b/>
          <w:bCs/>
          <w:sz w:val="20"/>
          <w:szCs w:val="20"/>
        </w:rPr>
      </w:pPr>
      <w:r w:rsidRPr="00C14D1C">
        <w:rPr>
          <w:rFonts w:ascii="Arial" w:hAnsi="Arial" w:cs="Arial"/>
          <w:b/>
          <w:bCs/>
          <w:sz w:val="20"/>
          <w:szCs w:val="20"/>
        </w:rPr>
        <w:t>Implications:</w:t>
      </w:r>
    </w:p>
    <w:p w14:paraId="31780555" w14:textId="46D13B7F" w:rsidR="00CB75A2" w:rsidRPr="002D34F0" w:rsidRDefault="00CB75A2" w:rsidP="00CB75A2">
      <w:pPr>
        <w:jc w:val="both"/>
        <w:rPr>
          <w:rFonts w:ascii="Arial" w:hAnsi="Arial" w:cs="Arial"/>
          <w:b/>
          <w:bCs/>
          <w:color w:val="0000FF"/>
          <w:sz w:val="20"/>
          <w:szCs w:val="20"/>
        </w:rPr>
      </w:pPr>
      <w:r w:rsidRPr="002D34F0">
        <w:rPr>
          <w:rFonts w:ascii="Arial" w:hAnsi="Arial" w:cs="Arial"/>
          <w:b/>
          <w:bCs/>
          <w:color w:val="0000FF"/>
          <w:sz w:val="20"/>
          <w:szCs w:val="20"/>
        </w:rPr>
        <w:t>VIPRI - a neutral and trusted source of expertise and guidance in IPR matters</w:t>
      </w:r>
    </w:p>
    <w:p w14:paraId="694F4CEF" w14:textId="63E446DC" w:rsidR="00CB75A2" w:rsidRDefault="00CB75A2" w:rsidP="00CB75A2">
      <w:pPr>
        <w:jc w:val="both"/>
        <w:rPr>
          <w:rFonts w:ascii="Arial" w:hAnsi="Arial" w:cs="Arial"/>
          <w:sz w:val="20"/>
          <w:szCs w:val="20"/>
        </w:rPr>
      </w:pPr>
      <w:r w:rsidRPr="00C14D1C">
        <w:rPr>
          <w:rFonts w:ascii="Arial" w:hAnsi="Arial" w:cs="Arial"/>
          <w:sz w:val="20"/>
          <w:szCs w:val="20"/>
        </w:rPr>
        <w:t xml:space="preserve">These statistics indicate that VIPRI plays an important role in IPR enforcement and dispute resolution in Vietnam, particularly in relation to trademarks and industrial designs. The fact that VIPRI's services are sought by both IPR holders and alleged infringers suggests that </w:t>
      </w:r>
      <w:r>
        <w:rPr>
          <w:rFonts w:ascii="Arial" w:hAnsi="Arial" w:cs="Arial"/>
          <w:sz w:val="20"/>
          <w:szCs w:val="20"/>
        </w:rPr>
        <w:t>VIPRI</w:t>
      </w:r>
      <w:r w:rsidRPr="00C14D1C">
        <w:rPr>
          <w:rFonts w:ascii="Arial" w:hAnsi="Arial" w:cs="Arial"/>
          <w:sz w:val="20"/>
          <w:szCs w:val="20"/>
        </w:rPr>
        <w:t xml:space="preserve"> is seen as a neutral and trusted source of expertise and guidance in IPR matters</w:t>
      </w:r>
      <w:r>
        <w:rPr>
          <w:rFonts w:ascii="Arial" w:hAnsi="Arial" w:cs="Arial"/>
          <w:sz w:val="20"/>
          <w:szCs w:val="20"/>
        </w:rPr>
        <w:t>.</w:t>
      </w:r>
    </w:p>
    <w:p w14:paraId="729924E2" w14:textId="6B5E6601" w:rsidR="00CB75A2" w:rsidRDefault="00CB75A2" w:rsidP="00CB75A2">
      <w:pPr>
        <w:jc w:val="both"/>
        <w:rPr>
          <w:rFonts w:ascii="Arial" w:hAnsi="Arial" w:cs="Arial"/>
          <w:sz w:val="20"/>
          <w:szCs w:val="20"/>
        </w:rPr>
      </w:pPr>
      <w:r w:rsidRPr="001805AF">
        <w:rPr>
          <w:rFonts w:ascii="Arial" w:hAnsi="Arial" w:cs="Arial"/>
          <w:sz w:val="20"/>
          <w:szCs w:val="20"/>
        </w:rPr>
        <w:t xml:space="preserve">VIPRI's role in IPR enforcement and dispute resolution is particularly important </w:t>
      </w:r>
      <w:r>
        <w:rPr>
          <w:rFonts w:ascii="Arial" w:hAnsi="Arial" w:cs="Arial"/>
          <w:sz w:val="20"/>
          <w:szCs w:val="20"/>
        </w:rPr>
        <w:t xml:space="preserve">in the context that IPR disputes are, by nature, complicated and most of Vietnamese </w:t>
      </w:r>
      <w:hyperlink r:id="rId12" w:history="1">
        <w:r w:rsidRPr="002D34F0">
          <w:rPr>
            <w:rStyle w:val="Hyperlink"/>
            <w:rFonts w:ascii="Arial" w:hAnsi="Arial" w:cs="Arial"/>
            <w:color w:val="ED7D31" w:themeColor="accent2"/>
            <w:sz w:val="20"/>
            <w:szCs w:val="20"/>
            <w:u w:val="none"/>
          </w:rPr>
          <w:t>enforcement authorities in Vietnam</w:t>
        </w:r>
      </w:hyperlink>
      <w:r>
        <w:rPr>
          <w:rFonts w:ascii="Arial" w:hAnsi="Arial" w:cs="Arial"/>
          <w:sz w:val="20"/>
          <w:szCs w:val="20"/>
        </w:rPr>
        <w:t xml:space="preserve"> need to seek expert opinions from an independent third party. </w:t>
      </w:r>
      <w:r w:rsidRPr="001805AF">
        <w:rPr>
          <w:rFonts w:ascii="Arial" w:hAnsi="Arial" w:cs="Arial"/>
          <w:sz w:val="20"/>
          <w:szCs w:val="20"/>
        </w:rPr>
        <w:t xml:space="preserve">As businesses increasingly rely on their </w:t>
      </w:r>
      <w:r>
        <w:rPr>
          <w:rFonts w:ascii="Arial" w:hAnsi="Arial" w:cs="Arial"/>
          <w:sz w:val="20"/>
          <w:szCs w:val="20"/>
        </w:rPr>
        <w:t>IP</w:t>
      </w:r>
      <w:r w:rsidRPr="001805AF">
        <w:rPr>
          <w:rFonts w:ascii="Arial" w:hAnsi="Arial" w:cs="Arial"/>
          <w:sz w:val="20"/>
          <w:szCs w:val="20"/>
        </w:rPr>
        <w:t xml:space="preserve"> assets to drive innovation and growth, effective IPR enforcement and protection becomes </w:t>
      </w:r>
      <w:r>
        <w:rPr>
          <w:rFonts w:ascii="Arial" w:hAnsi="Arial" w:cs="Arial"/>
          <w:sz w:val="20"/>
          <w:szCs w:val="20"/>
        </w:rPr>
        <w:t>urgent</w:t>
      </w:r>
      <w:r w:rsidRPr="001805AF">
        <w:rPr>
          <w:rFonts w:ascii="Arial" w:hAnsi="Arial" w:cs="Arial"/>
          <w:sz w:val="20"/>
          <w:szCs w:val="20"/>
        </w:rPr>
        <w:t>. VIPRI's assessments</w:t>
      </w:r>
      <w:r>
        <w:rPr>
          <w:rFonts w:ascii="Arial" w:hAnsi="Arial" w:cs="Arial"/>
          <w:sz w:val="20"/>
          <w:szCs w:val="20"/>
        </w:rPr>
        <w:t>/</w:t>
      </w:r>
      <w:r w:rsidRPr="001805AF">
        <w:rPr>
          <w:rFonts w:ascii="Arial" w:hAnsi="Arial" w:cs="Arial"/>
          <w:sz w:val="20"/>
          <w:szCs w:val="20"/>
        </w:rPr>
        <w:t xml:space="preserve">expert opinions help to ensure that IPR disputes are resolved fairly and efficiently, and that businesses can have confidence in the </w:t>
      </w:r>
      <w:r>
        <w:rPr>
          <w:rFonts w:ascii="Arial" w:hAnsi="Arial" w:cs="Arial"/>
          <w:sz w:val="20"/>
          <w:szCs w:val="20"/>
        </w:rPr>
        <w:t xml:space="preserve">mechanism of </w:t>
      </w:r>
      <w:r w:rsidRPr="001805AF">
        <w:rPr>
          <w:rFonts w:ascii="Arial" w:hAnsi="Arial" w:cs="Arial"/>
          <w:sz w:val="20"/>
          <w:szCs w:val="20"/>
        </w:rPr>
        <w:t xml:space="preserve">protection of their </w:t>
      </w:r>
      <w:r>
        <w:rPr>
          <w:rFonts w:ascii="Arial" w:hAnsi="Arial" w:cs="Arial"/>
          <w:sz w:val="20"/>
          <w:szCs w:val="20"/>
        </w:rPr>
        <w:t>IPRs</w:t>
      </w:r>
      <w:r w:rsidRPr="001805AF">
        <w:rPr>
          <w:rFonts w:ascii="Arial" w:hAnsi="Arial" w:cs="Arial"/>
          <w:sz w:val="20"/>
          <w:szCs w:val="20"/>
        </w:rPr>
        <w:t xml:space="preserve"> in Vietnam.</w:t>
      </w:r>
    </w:p>
    <w:p w14:paraId="314F109D" w14:textId="77777777" w:rsidR="00475467" w:rsidRDefault="00475467" w:rsidP="00CB75A2">
      <w:pPr>
        <w:jc w:val="both"/>
        <w:rPr>
          <w:rFonts w:ascii="Arial" w:hAnsi="Arial" w:cs="Arial"/>
          <w:b/>
          <w:bCs/>
          <w:sz w:val="20"/>
          <w:szCs w:val="20"/>
        </w:rPr>
      </w:pPr>
    </w:p>
    <w:p w14:paraId="320C42BE" w14:textId="0850AAE1" w:rsidR="00475467" w:rsidRDefault="00475467" w:rsidP="00CB75A2">
      <w:pPr>
        <w:jc w:val="both"/>
        <w:rPr>
          <w:rFonts w:ascii="Arial" w:hAnsi="Arial" w:cs="Arial"/>
          <w:sz w:val="20"/>
          <w:szCs w:val="20"/>
        </w:rPr>
      </w:pPr>
      <w:r w:rsidRPr="002D34F0">
        <w:rPr>
          <w:rFonts w:ascii="Arial" w:hAnsi="Arial" w:cs="Arial"/>
          <w:b/>
          <w:bCs/>
          <w:noProof/>
          <w:color w:val="0000FF"/>
          <w:sz w:val="24"/>
          <w:szCs w:val="24"/>
          <w:lang w:eastAsia="ko-KR"/>
        </w:rPr>
        <w:lastRenderedPageBreak/>
        <mc:AlternateContent>
          <mc:Choice Requires="wps">
            <w:drawing>
              <wp:anchor distT="0" distB="0" distL="114300" distR="114300" simplePos="0" relativeHeight="251669504" behindDoc="0" locked="0" layoutInCell="1" allowOverlap="1" wp14:anchorId="14E24FAC" wp14:editId="4C344EC3">
                <wp:simplePos x="0" y="0"/>
                <wp:positionH relativeFrom="column">
                  <wp:posOffset>6414135</wp:posOffset>
                </wp:positionH>
                <wp:positionV relativeFrom="paragraph">
                  <wp:posOffset>-310515</wp:posOffset>
                </wp:positionV>
                <wp:extent cx="3467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94EF45" w14:textId="77777777" w:rsidR="00475467" w:rsidRPr="00BA68B8" w:rsidRDefault="00475467" w:rsidP="00475467">
                            <w:pPr>
                              <w:spacing w:after="0" w:line="240" w:lineRule="auto"/>
                              <w:rPr>
                                <w:rFonts w:ascii="Arial" w:hAnsi="Arial" w:cs="Arial"/>
                                <w:b/>
                                <w:color w:val="FFFFFF" w:themeColor="background1"/>
                                <w:sz w:val="20"/>
                                <w:szCs w:val="20"/>
                              </w:rPr>
                            </w:pPr>
                            <w:r w:rsidRPr="00475467">
                              <w:rPr>
                                <w:rFonts w:ascii="Arial" w:hAnsi="Arial" w:cs="Arial"/>
                                <w:b/>
                                <w:bCs/>
                                <w:color w:val="FFFFFF" w:themeColor="background1"/>
                                <w:sz w:val="20"/>
                                <w:szCs w:val="20"/>
                              </w:rPr>
                              <w:t>IP Assessment and Dispute Resolution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24FAC" id="Rectangle 3" o:spid="_x0000_s1028" style="position:absolute;left:0;text-align:left;margin-left:505.05pt;margin-top:-24.45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" fillcolor="#00b39c" strokecolor="#00b39c" strokeweight="0">
                <v:textbox style="layout-flow:vertical">
                  <w:txbxContent>
                    <w:p w14:paraId="3F94EF45" w14:textId="77777777" w:rsidR="00475467" w:rsidRPr="00BA68B8" w:rsidRDefault="00475467" w:rsidP="00475467">
                      <w:pPr>
                        <w:spacing w:after="0" w:line="240" w:lineRule="auto"/>
                        <w:rPr>
                          <w:rFonts w:ascii="Arial" w:hAnsi="Arial" w:cs="Arial"/>
                          <w:b/>
                          <w:color w:val="FFFFFF" w:themeColor="background1"/>
                          <w:sz w:val="20"/>
                          <w:szCs w:val="20"/>
                        </w:rPr>
                      </w:pPr>
                      <w:r w:rsidRPr="00475467">
                        <w:rPr>
                          <w:rFonts w:ascii="Arial" w:hAnsi="Arial" w:cs="Arial"/>
                          <w:b/>
                          <w:bCs/>
                          <w:color w:val="FFFFFF" w:themeColor="background1"/>
                          <w:sz w:val="20"/>
                          <w:szCs w:val="20"/>
                        </w:rPr>
                        <w:t>IP Assessment and Dispute Resolution in Vietnam</w:t>
                      </w:r>
                    </w:p>
                  </w:txbxContent>
                </v:textbox>
              </v:rect>
            </w:pict>
          </mc:Fallback>
        </mc:AlternateContent>
      </w:r>
      <w:r w:rsidR="00CB75A2" w:rsidRPr="002D34F0">
        <w:rPr>
          <w:rFonts w:ascii="Arial" w:hAnsi="Arial" w:cs="Arial"/>
          <w:b/>
          <w:bCs/>
          <w:color w:val="0000FF"/>
          <w:sz w:val="20"/>
          <w:szCs w:val="20"/>
        </w:rPr>
        <w:t>Trademark – subject to most infringement</w:t>
      </w:r>
    </w:p>
    <w:p w14:paraId="622819B9" w14:textId="413D2B54" w:rsidR="00CB75A2" w:rsidRPr="00E35B4C" w:rsidRDefault="00CB75A2" w:rsidP="00CB75A2">
      <w:pPr>
        <w:jc w:val="both"/>
        <w:rPr>
          <w:rFonts w:ascii="Arial" w:hAnsi="Arial" w:cs="Arial"/>
          <w:sz w:val="20"/>
          <w:szCs w:val="20"/>
        </w:rPr>
      </w:pPr>
      <w:r w:rsidRPr="00E35B4C">
        <w:rPr>
          <w:rFonts w:ascii="Arial" w:hAnsi="Arial" w:cs="Arial"/>
          <w:sz w:val="20"/>
          <w:szCs w:val="20"/>
        </w:rPr>
        <w:t xml:space="preserve">The statistics on IP assessment or expertise opinions provided by VIPRI are important because they provide </w:t>
      </w:r>
      <w:r>
        <w:rPr>
          <w:rFonts w:ascii="Arial" w:hAnsi="Arial" w:cs="Arial"/>
          <w:sz w:val="20"/>
          <w:szCs w:val="20"/>
        </w:rPr>
        <w:t>a comprehensive picture of</w:t>
      </w:r>
      <w:r w:rsidRPr="00E35B4C">
        <w:rPr>
          <w:rFonts w:ascii="Arial" w:hAnsi="Arial" w:cs="Arial"/>
          <w:sz w:val="20"/>
          <w:szCs w:val="20"/>
        </w:rPr>
        <w:t xml:space="preserve"> the trends of intellectual property infringement in Vietnam. The statistics reveal trademarks are most commonly infringed upon, and this is the most prevalent infringement. </w:t>
      </w:r>
      <w:r>
        <w:rPr>
          <w:rFonts w:ascii="Arial" w:hAnsi="Arial" w:cs="Arial"/>
          <w:sz w:val="20"/>
          <w:szCs w:val="20"/>
        </w:rPr>
        <w:t>Thus,</w:t>
      </w:r>
      <w:r w:rsidRPr="00E35B4C">
        <w:rPr>
          <w:rFonts w:ascii="Arial" w:hAnsi="Arial" w:cs="Arial"/>
          <w:sz w:val="20"/>
          <w:szCs w:val="20"/>
        </w:rPr>
        <w:t xml:space="preserve"> IPR holders</w:t>
      </w:r>
      <w:r>
        <w:rPr>
          <w:rFonts w:ascii="Arial" w:hAnsi="Arial" w:cs="Arial"/>
          <w:sz w:val="20"/>
          <w:szCs w:val="20"/>
        </w:rPr>
        <w:t xml:space="preserve"> need</w:t>
      </w:r>
      <w:r w:rsidRPr="00E35B4C">
        <w:rPr>
          <w:rFonts w:ascii="Arial" w:hAnsi="Arial" w:cs="Arial"/>
          <w:sz w:val="20"/>
          <w:szCs w:val="20"/>
        </w:rPr>
        <w:t xml:space="preserve"> to develop more effective enforcement strategies and policies to </w:t>
      </w:r>
      <w:proofErr w:type="spellStart"/>
      <w:r w:rsidRPr="00E35B4C">
        <w:rPr>
          <w:rFonts w:ascii="Arial" w:hAnsi="Arial" w:cs="Arial"/>
          <w:sz w:val="20"/>
          <w:szCs w:val="20"/>
        </w:rPr>
        <w:t>to</w:t>
      </w:r>
      <w:proofErr w:type="spellEnd"/>
      <w:r w:rsidRPr="00E35B4C">
        <w:rPr>
          <w:rFonts w:ascii="Arial" w:hAnsi="Arial" w:cs="Arial"/>
          <w:sz w:val="20"/>
          <w:szCs w:val="20"/>
        </w:rPr>
        <w:t xml:space="preserve"> protect their IP</w:t>
      </w:r>
      <w:r>
        <w:rPr>
          <w:rFonts w:ascii="Arial" w:hAnsi="Arial" w:cs="Arial"/>
          <w:sz w:val="20"/>
          <w:szCs w:val="20"/>
        </w:rPr>
        <w:t>Rs, especially, trademarks</w:t>
      </w:r>
      <w:r w:rsidRPr="00E35B4C">
        <w:rPr>
          <w:rFonts w:ascii="Arial" w:hAnsi="Arial" w:cs="Arial"/>
          <w:sz w:val="20"/>
          <w:szCs w:val="20"/>
        </w:rPr>
        <w:t xml:space="preserve"> </w:t>
      </w:r>
      <w:r>
        <w:rPr>
          <w:rFonts w:ascii="Arial" w:hAnsi="Arial" w:cs="Arial"/>
          <w:sz w:val="20"/>
          <w:szCs w:val="20"/>
        </w:rPr>
        <w:t xml:space="preserve">in order to minimize and </w:t>
      </w:r>
      <w:r w:rsidRPr="00E35B4C">
        <w:rPr>
          <w:rFonts w:ascii="Arial" w:hAnsi="Arial" w:cs="Arial"/>
          <w:sz w:val="20"/>
          <w:szCs w:val="20"/>
        </w:rPr>
        <w:t>avoid potential infringement risks.</w:t>
      </w:r>
    </w:p>
    <w:p w14:paraId="51F061A2" w14:textId="62B41C9D" w:rsidR="00CB75A2" w:rsidRPr="00C14D1C" w:rsidRDefault="00CB75A2" w:rsidP="00CB75A2">
      <w:pPr>
        <w:jc w:val="both"/>
        <w:rPr>
          <w:rFonts w:ascii="Arial" w:hAnsi="Arial" w:cs="Arial"/>
          <w:sz w:val="20"/>
          <w:szCs w:val="20"/>
        </w:rPr>
      </w:pPr>
      <w:r w:rsidRPr="00C14D1C">
        <w:rPr>
          <w:rFonts w:ascii="Arial" w:hAnsi="Arial" w:cs="Arial"/>
          <w:sz w:val="20"/>
          <w:szCs w:val="20"/>
        </w:rPr>
        <w:t>The majority of the IPR assessment requests received by VIPRI over the past 13 years have been related to trademarks, followed by industrial designs and patents. Geographical indications have been the least requested subject matter.</w:t>
      </w:r>
      <w:r>
        <w:rPr>
          <w:rFonts w:ascii="Arial" w:hAnsi="Arial" w:cs="Arial"/>
          <w:sz w:val="20"/>
          <w:szCs w:val="20"/>
        </w:rPr>
        <w:t xml:space="preserve"> </w:t>
      </w:r>
    </w:p>
    <w:p w14:paraId="28AB8ABB" w14:textId="32BAB0D7" w:rsidR="00CB75A2" w:rsidRPr="00C14D1C" w:rsidRDefault="00CB75A2" w:rsidP="00CB75A2">
      <w:pPr>
        <w:jc w:val="both"/>
        <w:rPr>
          <w:rFonts w:ascii="Arial" w:hAnsi="Arial" w:cs="Arial"/>
          <w:sz w:val="20"/>
          <w:szCs w:val="20"/>
        </w:rPr>
      </w:pPr>
      <w:r w:rsidRPr="00C14D1C">
        <w:rPr>
          <w:rFonts w:ascii="Arial" w:hAnsi="Arial" w:cs="Arial"/>
          <w:sz w:val="20"/>
          <w:szCs w:val="20"/>
        </w:rPr>
        <w:t>The total number of IPR assessment requests has steadily increased over the years, with a notable jump in 2014 and a consistent increase from 2017 to 2020. However, there has been a slight decrease in the number of requests in 2021 and 2022</w:t>
      </w:r>
      <w:r>
        <w:rPr>
          <w:rFonts w:ascii="Arial" w:hAnsi="Arial" w:cs="Arial"/>
          <w:sz w:val="20"/>
          <w:szCs w:val="20"/>
        </w:rPr>
        <w:t xml:space="preserve"> due to economic challenges result from Covid-19 </w:t>
      </w:r>
      <w:proofErr w:type="spellStart"/>
      <w:r>
        <w:rPr>
          <w:rFonts w:ascii="Arial" w:hAnsi="Arial" w:cs="Arial"/>
          <w:sz w:val="20"/>
          <w:szCs w:val="20"/>
        </w:rPr>
        <w:t>pandamic</w:t>
      </w:r>
      <w:proofErr w:type="spellEnd"/>
      <w:r>
        <w:rPr>
          <w:rFonts w:ascii="Arial" w:hAnsi="Arial" w:cs="Arial"/>
          <w:sz w:val="20"/>
          <w:szCs w:val="20"/>
        </w:rPr>
        <w:t xml:space="preserve"> and </w:t>
      </w:r>
      <w:proofErr w:type="spellStart"/>
      <w:r>
        <w:rPr>
          <w:rFonts w:ascii="Arial" w:hAnsi="Arial" w:cs="Arial"/>
          <w:sz w:val="20"/>
          <w:szCs w:val="20"/>
        </w:rPr>
        <w:t>Rusia</w:t>
      </w:r>
      <w:proofErr w:type="spellEnd"/>
      <w:r>
        <w:rPr>
          <w:rFonts w:ascii="Arial" w:hAnsi="Arial" w:cs="Arial"/>
          <w:sz w:val="20"/>
          <w:szCs w:val="20"/>
        </w:rPr>
        <w:t xml:space="preserve">-Ukraine war, etc. </w:t>
      </w:r>
      <w:r w:rsidRPr="00C14D1C">
        <w:rPr>
          <w:rFonts w:ascii="Arial" w:hAnsi="Arial" w:cs="Arial"/>
          <w:sz w:val="20"/>
          <w:szCs w:val="20"/>
        </w:rPr>
        <w:t xml:space="preserve">Trademark </w:t>
      </w:r>
      <w:r>
        <w:rPr>
          <w:rFonts w:ascii="Arial" w:hAnsi="Arial" w:cs="Arial"/>
          <w:sz w:val="20"/>
          <w:szCs w:val="20"/>
        </w:rPr>
        <w:t xml:space="preserve">infringement </w:t>
      </w:r>
      <w:r w:rsidRPr="00C14D1C">
        <w:rPr>
          <w:rFonts w:ascii="Arial" w:hAnsi="Arial" w:cs="Arial"/>
          <w:sz w:val="20"/>
          <w:szCs w:val="20"/>
        </w:rPr>
        <w:t>assessments have consistently been the most requested service, with a total of 7,947 requests received over the 13-year period. This is more than double the number of industrial design requests and over 25 times the number of patent requests.</w:t>
      </w:r>
      <w:r w:rsidRPr="00564F9D">
        <w:rPr>
          <w:rFonts w:ascii="Arial" w:hAnsi="Arial" w:cs="Arial"/>
          <w:sz w:val="20"/>
          <w:szCs w:val="20"/>
        </w:rPr>
        <w:t xml:space="preserve"> This may indicate that there is less patent infringement in Vietnam compared to trademarks or industrial designs.</w:t>
      </w:r>
    </w:p>
    <w:p w14:paraId="10E03AF0" w14:textId="3F1F00F9" w:rsidR="00CB75A2" w:rsidRPr="00C14D1C" w:rsidRDefault="00CB75A2" w:rsidP="00CB75A2">
      <w:pPr>
        <w:jc w:val="both"/>
        <w:rPr>
          <w:rFonts w:ascii="Arial" w:hAnsi="Arial" w:cs="Arial"/>
          <w:sz w:val="20"/>
          <w:szCs w:val="20"/>
        </w:rPr>
      </w:pPr>
      <w:r w:rsidRPr="00C14D1C">
        <w:rPr>
          <w:rFonts w:ascii="Arial" w:hAnsi="Arial" w:cs="Arial"/>
          <w:sz w:val="20"/>
          <w:szCs w:val="20"/>
        </w:rPr>
        <w:t>Geographical indication assessments have been the least requested service, with only eight requests received over the 13-year period. This may reflect the relatively low number of geographical indications registered in Vietnam, as well as the limited awareness and understanding of geographical indications among Vietnamese businesses.</w:t>
      </w:r>
    </w:p>
    <w:p w14:paraId="5D975D4D" w14:textId="12E342B2" w:rsidR="00475467" w:rsidRDefault="00CB75A2" w:rsidP="00CB75A2">
      <w:pPr>
        <w:spacing w:after="0" w:line="240" w:lineRule="auto"/>
        <w:jc w:val="both"/>
        <w:rPr>
          <w:rFonts w:ascii="Arial" w:hAnsi="Arial" w:cs="Arial"/>
          <w:sz w:val="20"/>
          <w:szCs w:val="20"/>
        </w:rPr>
      </w:pPr>
      <w:r w:rsidRPr="00C14D1C">
        <w:rPr>
          <w:rFonts w:ascii="Arial" w:hAnsi="Arial" w:cs="Arial"/>
          <w:sz w:val="20"/>
          <w:szCs w:val="20"/>
        </w:rPr>
        <w:t>The total number of requests for IPR assessments has increased significantly over the past few years, which may reflect the growing importance of intellectual property rights in Vietnam and the increasing awareness of the need for IPR protection</w:t>
      </w:r>
      <w:r>
        <w:rPr>
          <w:rFonts w:ascii="Arial" w:hAnsi="Arial" w:cs="Arial"/>
          <w:sz w:val="20"/>
          <w:szCs w:val="20"/>
        </w:rPr>
        <w:t xml:space="preserve"> when entities are doing business or </w:t>
      </w:r>
      <w:proofErr w:type="spellStart"/>
      <w:r>
        <w:rPr>
          <w:rFonts w:ascii="Arial" w:hAnsi="Arial" w:cs="Arial"/>
          <w:sz w:val="20"/>
          <w:szCs w:val="20"/>
        </w:rPr>
        <w:t>investement</w:t>
      </w:r>
      <w:proofErr w:type="spellEnd"/>
      <w:r>
        <w:rPr>
          <w:rFonts w:ascii="Arial" w:hAnsi="Arial" w:cs="Arial"/>
          <w:sz w:val="20"/>
          <w:szCs w:val="20"/>
        </w:rPr>
        <w:t xml:space="preserve"> activities in Vietnam.</w:t>
      </w:r>
    </w:p>
    <w:p w14:paraId="33825379" w14:textId="77777777" w:rsidR="00475467" w:rsidRDefault="00475467" w:rsidP="00CB75A2">
      <w:pPr>
        <w:spacing w:after="0" w:line="240" w:lineRule="auto"/>
        <w:jc w:val="both"/>
        <w:rPr>
          <w:rFonts w:ascii="Arial" w:hAnsi="Arial" w:cs="Arial"/>
          <w:sz w:val="20"/>
          <w:szCs w:val="20"/>
        </w:rPr>
      </w:pPr>
    </w:p>
    <w:p w14:paraId="69B5CD14" w14:textId="431F8319" w:rsidR="007375E8" w:rsidRPr="00D03044" w:rsidRDefault="007375E8" w:rsidP="00D03044">
      <w:pPr>
        <w:spacing w:after="0" w:line="240" w:lineRule="auto"/>
        <w:jc w:val="both"/>
        <w:rPr>
          <w:rFonts w:ascii="Arial" w:hAnsi="Arial" w:cs="Arial"/>
          <w:iCs/>
          <w:sz w:val="20"/>
          <w:szCs w:val="20"/>
        </w:rPr>
      </w:pPr>
    </w:p>
    <w:p w14:paraId="68D8DE35" w14:textId="77777777" w:rsidR="0002156E" w:rsidRPr="00D03044" w:rsidRDefault="0002156E" w:rsidP="0002156E">
      <w:pPr>
        <w:spacing w:after="0" w:line="240" w:lineRule="auto"/>
        <w:jc w:val="right"/>
        <w:rPr>
          <w:rFonts w:ascii="Arial" w:hAnsi="Arial" w:cs="Arial"/>
          <w:b/>
          <w:sz w:val="20"/>
          <w:szCs w:val="20"/>
        </w:rPr>
      </w:pPr>
    </w:p>
    <w:p w14:paraId="62D17C41"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3298E466">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 xml:space="preserve">Building No. 6, Lane 12/93,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t>
                            </w:r>
                            <w:proofErr w:type="spellStart"/>
                            <w:r w:rsidRPr="00B31724">
                              <w:rPr>
                                <w:rFonts w:ascii="Arial" w:hAnsi="Arial" w:cs="Arial"/>
                                <w:sz w:val="20"/>
                                <w:szCs w:val="20"/>
                              </w:rPr>
                              <w:t>Kinh</w:t>
                            </w:r>
                            <w:proofErr w:type="spellEnd"/>
                            <w:r w:rsidRPr="00B31724">
                              <w:rPr>
                                <w:rFonts w:ascii="Arial" w:hAnsi="Arial" w:cs="Arial"/>
                                <w:sz w:val="20"/>
                                <w:szCs w:val="20"/>
                              </w:rPr>
                              <w:t xml:space="preserve"> Street, </w:t>
                            </w:r>
                            <w:proofErr w:type="spellStart"/>
                            <w:r w:rsidRPr="00B31724">
                              <w:rPr>
                                <w:rFonts w:ascii="Arial" w:hAnsi="Arial" w:cs="Arial"/>
                                <w:sz w:val="20"/>
                                <w:szCs w:val="20"/>
                              </w:rPr>
                              <w:t>Nhan</w:t>
                            </w:r>
                            <w:proofErr w:type="spellEnd"/>
                            <w:r w:rsidRPr="00B31724">
                              <w:rPr>
                                <w:rFonts w:ascii="Arial" w:hAnsi="Arial" w:cs="Arial"/>
                                <w:sz w:val="20"/>
                                <w:szCs w:val="20"/>
                              </w:rPr>
                              <w:t xml:space="preserve">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29"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PjSg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 xml:space="preserve">Building No. 6, Lane 12/93,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t>
                      </w:r>
                      <w:proofErr w:type="spellStart"/>
                      <w:r w:rsidRPr="00B31724">
                        <w:rPr>
                          <w:rFonts w:ascii="Arial" w:hAnsi="Arial" w:cs="Arial"/>
                          <w:sz w:val="20"/>
                          <w:szCs w:val="20"/>
                        </w:rPr>
                        <w:t>Kinh</w:t>
                      </w:r>
                      <w:proofErr w:type="spellEnd"/>
                      <w:r w:rsidRPr="00B31724">
                        <w:rPr>
                          <w:rFonts w:ascii="Arial" w:hAnsi="Arial" w:cs="Arial"/>
                          <w:sz w:val="20"/>
                          <w:szCs w:val="20"/>
                        </w:rPr>
                        <w:t xml:space="preserve"> Street, </w:t>
                      </w:r>
                      <w:proofErr w:type="spellStart"/>
                      <w:r w:rsidRPr="00B31724">
                        <w:rPr>
                          <w:rFonts w:ascii="Arial" w:hAnsi="Arial" w:cs="Arial"/>
                          <w:sz w:val="20"/>
                          <w:szCs w:val="20"/>
                        </w:rPr>
                        <w:t>Nhan</w:t>
                      </w:r>
                      <w:proofErr w:type="spellEnd"/>
                      <w:r w:rsidRPr="00B31724">
                        <w:rPr>
                          <w:rFonts w:ascii="Arial" w:hAnsi="Arial" w:cs="Arial"/>
                          <w:sz w:val="20"/>
                          <w:szCs w:val="20"/>
                        </w:rPr>
                        <w:t xml:space="preserve">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2AD06DEB" w14:textId="77777777" w:rsidR="00D75958" w:rsidRPr="00D03044" w:rsidRDefault="00D75958" w:rsidP="00D75958">
      <w:pPr>
        <w:rPr>
          <w:rFonts w:ascii="Arial" w:hAnsi="Arial" w:cs="Arial"/>
          <w:sz w:val="20"/>
          <w:szCs w:val="20"/>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3"/>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CBF75" w14:textId="77777777" w:rsidR="00DA7B85" w:rsidRDefault="00DA7B85">
      <w:pPr>
        <w:spacing w:after="0" w:line="240" w:lineRule="auto"/>
      </w:pPr>
      <w:r>
        <w:separator/>
      </w:r>
    </w:p>
  </w:endnote>
  <w:endnote w:type="continuationSeparator" w:id="0">
    <w:p w14:paraId="19195FC7" w14:textId="77777777" w:rsidR="00DA7B85" w:rsidRDefault="00DA7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DA7B85">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DA7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C779F" w14:textId="77777777" w:rsidR="00DA7B85" w:rsidRDefault="00DA7B85">
      <w:pPr>
        <w:spacing w:after="0" w:line="240" w:lineRule="auto"/>
      </w:pPr>
      <w:r>
        <w:separator/>
      </w:r>
    </w:p>
  </w:footnote>
  <w:footnote w:type="continuationSeparator" w:id="0">
    <w:p w14:paraId="52E6223C" w14:textId="77777777" w:rsidR="00DA7B85" w:rsidRDefault="00DA7B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6"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8"/>
  </w:num>
  <w:num w:numId="4">
    <w:abstractNumId w:val="13"/>
  </w:num>
  <w:num w:numId="5">
    <w:abstractNumId w:val="10"/>
  </w:num>
  <w:num w:numId="6">
    <w:abstractNumId w:val="0"/>
  </w:num>
  <w:num w:numId="7">
    <w:abstractNumId w:val="4"/>
  </w:num>
  <w:num w:numId="8">
    <w:abstractNumId w:val="14"/>
  </w:num>
  <w:num w:numId="9">
    <w:abstractNumId w:val="6"/>
  </w:num>
  <w:num w:numId="10">
    <w:abstractNumId w:val="3"/>
  </w:num>
  <w:num w:numId="11">
    <w:abstractNumId w:val="12"/>
  </w:num>
  <w:num w:numId="12">
    <w:abstractNumId w:val="1"/>
  </w:num>
  <w:num w:numId="13">
    <w:abstractNumId w:val="9"/>
  </w:num>
  <w:num w:numId="14">
    <w:abstractNumId w:val="11"/>
  </w:num>
  <w:num w:numId="15">
    <w:abstractNumId w:val="7"/>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27223"/>
    <w:rsid w:val="0003042E"/>
    <w:rsid w:val="00126CC7"/>
    <w:rsid w:val="001515AA"/>
    <w:rsid w:val="001D1CDD"/>
    <w:rsid w:val="001E0868"/>
    <w:rsid w:val="00215B22"/>
    <w:rsid w:val="00234C16"/>
    <w:rsid w:val="002753DD"/>
    <w:rsid w:val="002B63C0"/>
    <w:rsid w:val="002D34F0"/>
    <w:rsid w:val="0032315D"/>
    <w:rsid w:val="0033574A"/>
    <w:rsid w:val="003756D4"/>
    <w:rsid w:val="003D7C8C"/>
    <w:rsid w:val="00475467"/>
    <w:rsid w:val="004A1761"/>
    <w:rsid w:val="004D64BC"/>
    <w:rsid w:val="00531173"/>
    <w:rsid w:val="00576438"/>
    <w:rsid w:val="005D32F9"/>
    <w:rsid w:val="00631122"/>
    <w:rsid w:val="00675D62"/>
    <w:rsid w:val="006C0389"/>
    <w:rsid w:val="006F1BC0"/>
    <w:rsid w:val="007375E8"/>
    <w:rsid w:val="00745E08"/>
    <w:rsid w:val="007C392A"/>
    <w:rsid w:val="00813493"/>
    <w:rsid w:val="00820E66"/>
    <w:rsid w:val="008366D4"/>
    <w:rsid w:val="008416E5"/>
    <w:rsid w:val="008F33A3"/>
    <w:rsid w:val="00933532"/>
    <w:rsid w:val="00A4177F"/>
    <w:rsid w:val="00A623C4"/>
    <w:rsid w:val="00AC74F1"/>
    <w:rsid w:val="00AF0703"/>
    <w:rsid w:val="00C13ACF"/>
    <w:rsid w:val="00CA3F97"/>
    <w:rsid w:val="00CB75A2"/>
    <w:rsid w:val="00CE035D"/>
    <w:rsid w:val="00D02775"/>
    <w:rsid w:val="00D03044"/>
    <w:rsid w:val="00D04B4E"/>
    <w:rsid w:val="00D417C1"/>
    <w:rsid w:val="00D645F2"/>
    <w:rsid w:val="00D75958"/>
    <w:rsid w:val="00DA7B85"/>
    <w:rsid w:val="00E02884"/>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our-practice/our-practice-in-vietnam/ip-practice-in-vietnam/ip-practice-patent-in-vietna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vipri.gov.vn/" TargetMode="External"/><Relationship Id="rId12" Type="http://schemas.openxmlformats.org/officeDocument/2006/relationships/hyperlink" Target="https://kenfoxlaw.com/our-practice/our-practice-in-vietnam/ip-practice-in-vietnam/enforcement-in-vietn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our-practice/our-practice-in-vietnam/ip-practice-in-vietnam/geographical-indications-in-vietna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kenfoxlaw.com/our-practice/our-practice-in-vietnam/ip-practice-in-vietnam/ip-practice-trademark-in-vietnam" TargetMode="External"/><Relationship Id="rId4" Type="http://schemas.openxmlformats.org/officeDocument/2006/relationships/webSettings" Target="webSettings.xml"/><Relationship Id="rId9" Type="http://schemas.openxmlformats.org/officeDocument/2006/relationships/hyperlink" Target="https://kenfoxlaw.com/our-practice/our-practice-in-vietnam/ip-practice-in-vietnam/ip-practice-industrial-design-in-vietna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8</cp:revision>
  <cp:lastPrinted>2023-02-07T03:49:00Z</cp:lastPrinted>
  <dcterms:created xsi:type="dcterms:W3CDTF">2023-02-07T03:35:00Z</dcterms:created>
  <dcterms:modified xsi:type="dcterms:W3CDTF">2023-04-21T07:43:00Z</dcterms:modified>
</cp:coreProperties>
</file>