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A814C31" w:rsidR="00D03044" w:rsidRPr="00745E08" w:rsidRDefault="004D64BC" w:rsidP="006273DC">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5F04609">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E42AAF7" w:rsidR="00FA2CEE" w:rsidRPr="00BA68B8" w:rsidRDefault="00A14A11" w:rsidP="00FA2CEE">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E42AAF7" w:rsidR="00FA2CEE" w:rsidRPr="00BA68B8" w:rsidRDefault="00A14A11" w:rsidP="00FA2CEE">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538858C" w:rsidR="00FA2CEE" w:rsidRPr="00CC7576" w:rsidRDefault="00A14A11" w:rsidP="00FA2CEE">
                            <w:pPr>
                              <w:spacing w:after="0"/>
                              <w:jc w:val="center"/>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538858C" w:rsidR="00FA2CEE" w:rsidRPr="00CC7576" w:rsidRDefault="00A14A11" w:rsidP="00FA2CEE">
                      <w:pPr>
                        <w:spacing w:after="0"/>
                        <w:jc w:val="center"/>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v:textbox>
                <w10:wrap anchorx="page"/>
              </v:rect>
            </w:pict>
          </mc:Fallback>
        </mc:AlternateContent>
      </w:r>
      <w:r w:rsidR="006273DC" w:rsidRPr="006273DC">
        <w:t xml:space="preserve"> </w:t>
      </w:r>
      <w:r w:rsidR="006273DC" w:rsidRPr="006273DC">
        <w:rPr>
          <w:rFonts w:ascii="Arial" w:hAnsi="Arial" w:cs="Arial"/>
          <w:b/>
          <w:bCs/>
          <w:noProof/>
          <w:color w:val="C00000"/>
          <w:sz w:val="24"/>
          <w:szCs w:val="24"/>
          <w:lang w:eastAsia="ko-KR"/>
        </w:rPr>
        <w:t xml:space="preserve">How is Goods/Service Relatedness Significant </w:t>
      </w:r>
      <w:r w:rsidR="006273DC">
        <w:rPr>
          <w:rFonts w:ascii="Arial" w:hAnsi="Arial" w:cs="Arial"/>
          <w:b/>
          <w:bCs/>
          <w:noProof/>
          <w:color w:val="C00000"/>
          <w:sz w:val="24"/>
          <w:szCs w:val="24"/>
          <w:lang w:eastAsia="ko-KR"/>
        </w:rPr>
        <w:t xml:space="preserve"> </w:t>
      </w:r>
      <w:r w:rsidR="006273DC" w:rsidRPr="006273DC">
        <w:rPr>
          <w:rFonts w:ascii="Arial" w:hAnsi="Arial" w:cs="Arial"/>
          <w:b/>
          <w:bCs/>
          <w:noProof/>
          <w:color w:val="C00000"/>
          <w:sz w:val="24"/>
          <w:szCs w:val="24"/>
          <w:lang w:eastAsia="ko-KR"/>
        </w:rPr>
        <w:t>for Trademark Registration in Vietnam?</w:t>
      </w:r>
    </w:p>
    <w:p w14:paraId="15F05EEB" w14:textId="1F1DDB8E" w:rsidR="007375E8" w:rsidRPr="007375E8" w:rsidRDefault="007375E8" w:rsidP="007375E8">
      <w:pPr>
        <w:spacing w:after="0" w:line="240" w:lineRule="auto"/>
        <w:jc w:val="both"/>
        <w:rPr>
          <w:rFonts w:ascii="Arial" w:hAnsi="Arial" w:cs="Arial"/>
          <w:iCs/>
          <w:sz w:val="20"/>
          <w:szCs w:val="20"/>
        </w:rPr>
      </w:pPr>
    </w:p>
    <w:p w14:paraId="6AA4B8AA" w14:textId="5F749FD5" w:rsidR="007375E8" w:rsidRDefault="006273DC" w:rsidP="007375E8">
      <w:pPr>
        <w:spacing w:after="0" w:line="240" w:lineRule="auto"/>
        <w:jc w:val="both"/>
        <w:rPr>
          <w:rFonts w:ascii="Arial" w:hAnsi="Arial" w:cs="Arial"/>
          <w:i/>
          <w:iCs/>
          <w:sz w:val="20"/>
          <w:szCs w:val="20"/>
        </w:rPr>
      </w:pPr>
      <w:r w:rsidRPr="006273DC">
        <w:rPr>
          <w:rFonts w:ascii="Arial" w:hAnsi="Arial" w:cs="Arial"/>
          <w:i/>
          <w:iCs/>
          <w:sz w:val="20"/>
          <w:szCs w:val="20"/>
        </w:rPr>
        <w:t xml:space="preserve">The nature of goods/services is one of two prerequisite factors (together with trademark itself) in </w:t>
      </w:r>
      <w:proofErr w:type="spellStart"/>
      <w:r w:rsidRPr="006273DC">
        <w:rPr>
          <w:rFonts w:ascii="Arial" w:hAnsi="Arial" w:cs="Arial"/>
          <w:i/>
          <w:iCs/>
          <w:sz w:val="20"/>
          <w:szCs w:val="20"/>
        </w:rPr>
        <w:t>determinging</w:t>
      </w:r>
      <w:proofErr w:type="spellEnd"/>
      <w:r w:rsidRPr="006273DC">
        <w:rPr>
          <w:rFonts w:ascii="Arial" w:hAnsi="Arial" w:cs="Arial"/>
          <w:i/>
          <w:iCs/>
          <w:sz w:val="20"/>
          <w:szCs w:val="20"/>
        </w:rPr>
        <w:t xml:space="preserve"> the registrability of an applied-for mark. Before applying for a trademark registration, it is important to consider the goods or services that the trademark will be used for. Through a practical trademark case that KENFOX IP &amp; Law Office has successfully overcome the provisional refusal issued by the Intellectual Property Office of Vietnam (IP VIETNAM), this article will explore the concept of goods/services relatedness and its importance in the trademark registration process in Vietnam. The factors that determine whether two goods or services are considered related or not, and how these factors are applied in practice will be delved into.</w:t>
      </w:r>
    </w:p>
    <w:p w14:paraId="382C5D78" w14:textId="77777777" w:rsidR="006273DC" w:rsidRPr="007375E8" w:rsidRDefault="006273DC" w:rsidP="007375E8">
      <w:pPr>
        <w:spacing w:after="0" w:line="240" w:lineRule="auto"/>
        <w:jc w:val="both"/>
        <w:rPr>
          <w:rFonts w:ascii="Arial" w:hAnsi="Arial" w:cs="Arial"/>
          <w:iCs/>
          <w:sz w:val="20"/>
          <w:szCs w:val="20"/>
        </w:rPr>
      </w:pPr>
    </w:p>
    <w:p w14:paraId="4A659D89" w14:textId="1A6104BB" w:rsidR="007375E8" w:rsidRPr="0020199A" w:rsidRDefault="006273DC" w:rsidP="007375E8">
      <w:pPr>
        <w:spacing w:after="0" w:line="240" w:lineRule="auto"/>
        <w:jc w:val="both"/>
        <w:rPr>
          <w:rFonts w:ascii="Arial" w:eastAsia="Calibri" w:hAnsi="Arial" w:cs="Arial"/>
          <w:b/>
          <w:bCs/>
          <w:color w:val="0000FF"/>
          <w:sz w:val="20"/>
          <w:szCs w:val="20"/>
        </w:rPr>
      </w:pPr>
      <w:r w:rsidRPr="0020199A">
        <w:rPr>
          <w:rFonts w:ascii="Arial" w:eastAsia="Calibri" w:hAnsi="Arial" w:cs="Arial"/>
          <w:b/>
          <w:bCs/>
          <w:color w:val="0000FF"/>
          <w:sz w:val="20"/>
          <w:szCs w:val="20"/>
        </w:rPr>
        <w:t>Facts:</w:t>
      </w:r>
    </w:p>
    <w:p w14:paraId="383650BD" w14:textId="77777777" w:rsidR="006273DC" w:rsidRPr="007375E8" w:rsidRDefault="006273DC" w:rsidP="007375E8">
      <w:pPr>
        <w:spacing w:after="0" w:line="240" w:lineRule="auto"/>
        <w:jc w:val="both"/>
        <w:rPr>
          <w:rFonts w:ascii="Arial" w:hAnsi="Arial" w:cs="Arial"/>
          <w:iCs/>
          <w:sz w:val="20"/>
          <w:szCs w:val="20"/>
        </w:rPr>
      </w:pPr>
    </w:p>
    <w:p w14:paraId="7B44E0E3" w14:textId="081B8480" w:rsidR="007375E8" w:rsidRDefault="006273DC" w:rsidP="007375E8">
      <w:pPr>
        <w:spacing w:after="0" w:line="240" w:lineRule="auto"/>
        <w:jc w:val="both"/>
        <w:rPr>
          <w:rFonts w:ascii="Arial" w:hAnsi="Arial" w:cs="Arial"/>
          <w:iCs/>
          <w:sz w:val="20"/>
          <w:szCs w:val="20"/>
        </w:rPr>
      </w:pPr>
      <w:r w:rsidRPr="006273DC">
        <w:rPr>
          <w:rFonts w:ascii="Arial" w:hAnsi="Arial" w:cs="Arial"/>
          <w:iCs/>
          <w:sz w:val="20"/>
          <w:szCs w:val="20"/>
        </w:rPr>
        <w:t xml:space="preserve">Various trademarks applied for registration in Vietnam were refused registration due to </w:t>
      </w:r>
      <w:proofErr w:type="spellStart"/>
      <w:r w:rsidRPr="006273DC">
        <w:rPr>
          <w:rFonts w:ascii="Arial" w:hAnsi="Arial" w:cs="Arial"/>
          <w:iCs/>
          <w:sz w:val="20"/>
          <w:szCs w:val="20"/>
        </w:rPr>
        <w:t>alledged</w:t>
      </w:r>
      <w:proofErr w:type="spellEnd"/>
      <w:r w:rsidRPr="006273DC">
        <w:rPr>
          <w:rFonts w:ascii="Arial" w:hAnsi="Arial" w:cs="Arial"/>
          <w:iCs/>
          <w:sz w:val="20"/>
          <w:szCs w:val="20"/>
        </w:rPr>
        <w:t xml:space="preserve"> similarity in both trademark themselves and the goods/services associated with them. While determining whether a later-filed mark is confusingly similar to a prior mark may not be overly complicated, analyzing the similarity of the goods/services associated with these marks requires careful consideration. So, an experienced trademark attorney will prioritize demonstrating relatedness of the goods/services bearing the marks in question in order to overcome a provisional refusal against an applied-for trademark that may initially appear similar to a prior mark. To illustrate this, please see a provisional refusal issued by IP VIETNAM with particulars below:</w:t>
      </w:r>
    </w:p>
    <w:p w14:paraId="14D1E595" w14:textId="5361335C" w:rsidR="006273DC" w:rsidRDefault="006273DC" w:rsidP="007375E8">
      <w:pPr>
        <w:spacing w:after="0" w:line="240" w:lineRule="auto"/>
        <w:jc w:val="both"/>
        <w:rPr>
          <w:rFonts w:ascii="Arial" w:hAnsi="Arial" w:cs="Arial"/>
          <w:iCs/>
          <w:sz w:val="20"/>
          <w:szCs w:val="20"/>
        </w:rPr>
      </w:pPr>
    </w:p>
    <w:tbl>
      <w:tblPr>
        <w:tblStyle w:val="TableGrid"/>
        <w:tblW w:w="0" w:type="auto"/>
        <w:tblLook w:val="04A0" w:firstRow="1" w:lastRow="0" w:firstColumn="1" w:lastColumn="0" w:noHBand="0" w:noVBand="1"/>
      </w:tblPr>
      <w:tblGrid>
        <w:gridCol w:w="1252"/>
        <w:gridCol w:w="4413"/>
        <w:gridCol w:w="3685"/>
      </w:tblGrid>
      <w:tr w:rsidR="006273DC" w:rsidRPr="00EC0C6A" w14:paraId="51A28FE3" w14:textId="77777777" w:rsidTr="0043492C">
        <w:tc>
          <w:tcPr>
            <w:tcW w:w="1252" w:type="dxa"/>
          </w:tcPr>
          <w:p w14:paraId="695EFE69" w14:textId="77777777" w:rsidR="006273DC" w:rsidRPr="00EC0C6A" w:rsidRDefault="006273DC" w:rsidP="00077001">
            <w:pPr>
              <w:jc w:val="center"/>
              <w:rPr>
                <w:rFonts w:ascii="Arial" w:hAnsi="Arial" w:cs="Arial"/>
                <w:sz w:val="20"/>
                <w:szCs w:val="20"/>
              </w:rPr>
            </w:pPr>
            <w:r w:rsidRPr="00EC0C6A">
              <w:rPr>
                <w:rFonts w:ascii="Arial" w:hAnsi="Arial" w:cs="Arial"/>
                <w:sz w:val="20"/>
                <w:szCs w:val="20"/>
              </w:rPr>
              <w:t>Trademark</w:t>
            </w:r>
          </w:p>
          <w:p w14:paraId="7C52E51F" w14:textId="77777777" w:rsidR="006273DC" w:rsidRPr="00EC0C6A" w:rsidRDefault="006273DC" w:rsidP="00077001">
            <w:pPr>
              <w:jc w:val="center"/>
              <w:rPr>
                <w:rFonts w:ascii="Arial" w:hAnsi="Arial" w:cs="Arial"/>
                <w:sz w:val="20"/>
                <w:szCs w:val="20"/>
              </w:rPr>
            </w:pPr>
            <w:r w:rsidRPr="00EC0C6A">
              <w:rPr>
                <w:rFonts w:ascii="Arial" w:hAnsi="Arial" w:cs="Arial"/>
                <w:sz w:val="20"/>
                <w:szCs w:val="20"/>
              </w:rPr>
              <w:t>/Class</w:t>
            </w:r>
          </w:p>
        </w:tc>
        <w:tc>
          <w:tcPr>
            <w:tcW w:w="4413" w:type="dxa"/>
          </w:tcPr>
          <w:p w14:paraId="132CD472" w14:textId="77777777" w:rsidR="006273DC" w:rsidRDefault="006273DC" w:rsidP="00077001">
            <w:pPr>
              <w:jc w:val="center"/>
              <w:rPr>
                <w:rFonts w:ascii="Arial" w:hAnsi="Arial" w:cs="Arial"/>
                <w:sz w:val="20"/>
                <w:szCs w:val="20"/>
              </w:rPr>
            </w:pPr>
            <w:r w:rsidRPr="00EC0C6A">
              <w:rPr>
                <w:rFonts w:ascii="Arial" w:hAnsi="Arial" w:cs="Arial"/>
                <w:sz w:val="20"/>
                <w:szCs w:val="20"/>
              </w:rPr>
              <w:t>Applied-for mark</w:t>
            </w:r>
          </w:p>
          <w:p w14:paraId="39DEC865" w14:textId="77777777" w:rsidR="006273DC" w:rsidRPr="00EC0C6A" w:rsidRDefault="006273DC" w:rsidP="00077001">
            <w:pPr>
              <w:jc w:val="center"/>
              <w:rPr>
                <w:rFonts w:ascii="Arial" w:hAnsi="Arial" w:cs="Arial"/>
                <w:sz w:val="20"/>
                <w:szCs w:val="20"/>
              </w:rPr>
            </w:pPr>
            <w:r w:rsidRPr="00EC0C6A">
              <w:rPr>
                <w:rFonts w:ascii="Arial" w:hAnsi="Arial" w:cs="Arial"/>
                <w:sz w:val="20"/>
                <w:szCs w:val="20"/>
              </w:rPr>
              <w:t>“</w:t>
            </w:r>
            <w:r w:rsidRPr="00EC0C6A">
              <w:rPr>
                <w:rFonts w:ascii="Arial" w:hAnsi="Arial" w:cs="Arial"/>
                <w:sz w:val="20"/>
                <w:szCs w:val="20"/>
              </w:rPr>
              <w:fldChar w:fldCharType="begin"/>
            </w:r>
            <w:r w:rsidRPr="00EC0C6A">
              <w:rPr>
                <w:rFonts w:ascii="Arial" w:hAnsi="Arial" w:cs="Arial"/>
                <w:sz w:val="20"/>
                <w:szCs w:val="20"/>
              </w:rPr>
              <w:instrText xml:space="preserve"> INCLUDEPICTURE "http://www.wipo.int/romarin/images/12/25/1225463.jpg" \* MERGEFORMATINET </w:instrText>
            </w:r>
            <w:r w:rsidRPr="00EC0C6A">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"http://www.wipo.int/romarin/images/12/25/1225463.jpg"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"http://www.wipo.int/romarin/images/12/25/1225463.jpg" \* MERGEFORMATINET </w:instrText>
            </w:r>
            <w:r>
              <w:rPr>
                <w:rFonts w:ascii="Arial" w:hAnsi="Arial" w:cs="Arial"/>
                <w:sz w:val="20"/>
                <w:szCs w:val="20"/>
              </w:rPr>
              <w:fldChar w:fldCharType="separate"/>
            </w:r>
            <w:r w:rsidR="00CD3D72">
              <w:rPr>
                <w:rFonts w:ascii="Arial" w:hAnsi="Arial" w:cs="Arial"/>
                <w:sz w:val="20"/>
                <w:szCs w:val="20"/>
              </w:rPr>
              <w:fldChar w:fldCharType="begin"/>
            </w:r>
            <w:r w:rsidR="00CD3D72">
              <w:rPr>
                <w:rFonts w:ascii="Arial" w:hAnsi="Arial" w:cs="Arial"/>
                <w:sz w:val="20"/>
                <w:szCs w:val="20"/>
              </w:rPr>
              <w:instrText xml:space="preserve"> INCLUDEPICTURE  "http://www.wipo.int/romarin/images/12/25/1225463.jpg" \* MERGEFORMATINET </w:instrText>
            </w:r>
            <w:r w:rsidR="00CD3D72">
              <w:rPr>
                <w:rFonts w:ascii="Arial" w:hAnsi="Arial" w:cs="Arial"/>
                <w:sz w:val="20"/>
                <w:szCs w:val="20"/>
              </w:rPr>
              <w:fldChar w:fldCharType="separate"/>
            </w:r>
            <w:r w:rsidR="00E93C75">
              <w:rPr>
                <w:rFonts w:ascii="Arial" w:hAnsi="Arial" w:cs="Arial"/>
                <w:sz w:val="20"/>
                <w:szCs w:val="20"/>
              </w:rPr>
              <w:fldChar w:fldCharType="begin"/>
            </w:r>
            <w:r w:rsidR="00E93C75">
              <w:rPr>
                <w:rFonts w:ascii="Arial" w:hAnsi="Arial" w:cs="Arial"/>
                <w:sz w:val="20"/>
                <w:szCs w:val="20"/>
              </w:rPr>
              <w:instrText xml:space="preserve"> INCLUDEPICTURE  "http://www.wipo.int/romarin/images/12/25/1225463.jpg" \* MERGEFORMATINET </w:instrText>
            </w:r>
            <w:r w:rsidR="00E93C75">
              <w:rPr>
                <w:rFonts w:ascii="Arial" w:hAnsi="Arial" w:cs="Arial"/>
                <w:sz w:val="20"/>
                <w:szCs w:val="20"/>
              </w:rPr>
              <w:fldChar w:fldCharType="separate"/>
            </w:r>
            <w:r w:rsidR="003C1568">
              <w:rPr>
                <w:rFonts w:ascii="Arial" w:hAnsi="Arial" w:cs="Arial"/>
                <w:sz w:val="20"/>
                <w:szCs w:val="20"/>
              </w:rPr>
              <w:fldChar w:fldCharType="begin"/>
            </w:r>
            <w:r w:rsidR="003C1568">
              <w:rPr>
                <w:rFonts w:ascii="Arial" w:hAnsi="Arial" w:cs="Arial"/>
                <w:sz w:val="20"/>
                <w:szCs w:val="20"/>
              </w:rPr>
              <w:instrText xml:space="preserve"> INCLUDEPICTURE  "http://www.wipo.int/romarin/images/12/25/1225463.jpg" \* MERGEFORMATINET </w:instrText>
            </w:r>
            <w:r w:rsidR="003C1568">
              <w:rPr>
                <w:rFonts w:ascii="Arial" w:hAnsi="Arial" w:cs="Arial"/>
                <w:sz w:val="20"/>
                <w:szCs w:val="20"/>
              </w:rPr>
              <w:fldChar w:fldCharType="separate"/>
            </w:r>
            <w:r w:rsidR="00544425">
              <w:rPr>
                <w:rFonts w:ascii="Arial" w:hAnsi="Arial" w:cs="Arial"/>
                <w:sz w:val="20"/>
                <w:szCs w:val="20"/>
              </w:rPr>
              <w:fldChar w:fldCharType="begin"/>
            </w:r>
            <w:r w:rsidR="00544425">
              <w:rPr>
                <w:rFonts w:ascii="Arial" w:hAnsi="Arial" w:cs="Arial"/>
                <w:sz w:val="20"/>
                <w:szCs w:val="20"/>
              </w:rPr>
              <w:instrText xml:space="preserve"> </w:instrText>
            </w:r>
            <w:r w:rsidR="00544425">
              <w:rPr>
                <w:rFonts w:ascii="Arial" w:hAnsi="Arial" w:cs="Arial"/>
                <w:sz w:val="20"/>
                <w:szCs w:val="20"/>
              </w:rPr>
              <w:instrText>INCLUDEPICTURE  "http://www.wipo.int/romarin/images/12/25/1225463.jpg" \* MERGEFORMATINET</w:instrText>
            </w:r>
            <w:r w:rsidR="00544425">
              <w:rPr>
                <w:rFonts w:ascii="Arial" w:hAnsi="Arial" w:cs="Arial"/>
                <w:sz w:val="20"/>
                <w:szCs w:val="20"/>
              </w:rPr>
              <w:instrText xml:space="preserve"> </w:instrText>
            </w:r>
            <w:r w:rsidR="00544425">
              <w:rPr>
                <w:rFonts w:ascii="Arial" w:hAnsi="Arial" w:cs="Arial"/>
                <w:sz w:val="20"/>
                <w:szCs w:val="20"/>
              </w:rPr>
              <w:fldChar w:fldCharType="separate"/>
            </w:r>
            <w:r w:rsidR="0020199A">
              <w:rPr>
                <w:rFonts w:ascii="Arial" w:hAnsi="Arial" w:cs="Arial"/>
                <w:sz w:val="20"/>
                <w:szCs w:val="20"/>
              </w:rPr>
              <w:pict w14:anchorId="2F587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omas Cook" style="width:54.75pt;height:40.5pt">
                  <v:imagedata r:id="rId7" r:href="rId8" cropbottom="5554f" cropright="50463f"/>
                </v:shape>
              </w:pict>
            </w:r>
            <w:r w:rsidR="00544425">
              <w:rPr>
                <w:rFonts w:ascii="Arial" w:eastAsiaTheme="minorHAnsi" w:hAnsi="Arial" w:cs="Arial"/>
                <w:sz w:val="20"/>
                <w:szCs w:val="20"/>
                <w:lang w:eastAsia="en-US"/>
              </w:rPr>
              <w:fldChar w:fldCharType="end"/>
            </w:r>
            <w:r w:rsidR="003C1568">
              <w:rPr>
                <w:rFonts w:ascii="Arial" w:hAnsi="Arial" w:cs="Arial"/>
                <w:sz w:val="20"/>
                <w:szCs w:val="20"/>
              </w:rPr>
              <w:fldChar w:fldCharType="end"/>
            </w:r>
            <w:r w:rsidR="00E93C75">
              <w:rPr>
                <w:rFonts w:ascii="Arial" w:hAnsi="Arial" w:cs="Arial"/>
                <w:sz w:val="20"/>
                <w:szCs w:val="20"/>
              </w:rPr>
              <w:fldChar w:fldCharType="end"/>
            </w:r>
            <w:r w:rsidR="00CD3D72">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EC0C6A">
              <w:rPr>
                <w:rFonts w:ascii="Arial" w:hAnsi="Arial" w:cs="Arial"/>
                <w:sz w:val="20"/>
                <w:szCs w:val="20"/>
              </w:rPr>
              <w:fldChar w:fldCharType="end"/>
            </w:r>
            <w:r w:rsidRPr="00EC0C6A">
              <w:rPr>
                <w:rFonts w:ascii="Arial" w:hAnsi="Arial" w:cs="Arial"/>
                <w:sz w:val="20"/>
                <w:szCs w:val="20"/>
              </w:rPr>
              <w:t>”</w:t>
            </w:r>
          </w:p>
        </w:tc>
        <w:tc>
          <w:tcPr>
            <w:tcW w:w="3685" w:type="dxa"/>
          </w:tcPr>
          <w:p w14:paraId="32BAA043" w14:textId="77777777" w:rsidR="006273DC" w:rsidRDefault="006273DC" w:rsidP="00077001">
            <w:pPr>
              <w:jc w:val="center"/>
              <w:rPr>
                <w:rFonts w:ascii="Arial" w:hAnsi="Arial" w:cs="Arial"/>
                <w:sz w:val="20"/>
                <w:szCs w:val="20"/>
              </w:rPr>
            </w:pPr>
            <w:r w:rsidRPr="00EC0C6A">
              <w:rPr>
                <w:rFonts w:ascii="Arial" w:hAnsi="Arial" w:cs="Arial"/>
                <w:sz w:val="20"/>
                <w:szCs w:val="20"/>
              </w:rPr>
              <w:t>Cited mark</w:t>
            </w:r>
          </w:p>
          <w:p w14:paraId="3CA2EE73" w14:textId="77777777" w:rsidR="006273DC" w:rsidRPr="00EC0C6A" w:rsidRDefault="006273DC" w:rsidP="00077001">
            <w:pPr>
              <w:jc w:val="center"/>
              <w:rPr>
                <w:rFonts w:ascii="Arial" w:hAnsi="Arial" w:cs="Arial"/>
                <w:sz w:val="20"/>
                <w:szCs w:val="20"/>
              </w:rPr>
            </w:pPr>
            <w:r w:rsidRPr="00EC0C6A">
              <w:rPr>
                <w:rFonts w:ascii="Arial" w:hAnsi="Arial" w:cs="Arial"/>
                <w:sz w:val="20"/>
                <w:szCs w:val="20"/>
              </w:rPr>
              <w:t>“</w:t>
            </w:r>
            <w:r w:rsidRPr="00EC0C6A">
              <w:rPr>
                <w:rFonts w:ascii="Arial" w:hAnsi="Arial" w:cs="Arial"/>
                <w:sz w:val="20"/>
                <w:szCs w:val="20"/>
              </w:rPr>
              <w:fldChar w:fldCharType="begin"/>
            </w:r>
            <w:r w:rsidRPr="00EC0C6A">
              <w:rPr>
                <w:rFonts w:ascii="Arial" w:hAnsi="Arial" w:cs="Arial"/>
                <w:sz w:val="20"/>
                <w:szCs w:val="20"/>
              </w:rPr>
              <w:instrText xml:space="preserve"> INCLUDEPICTURE "http://www.wipo.int/romarin/images/11/71/1171753.jpg" \* MERGEFORMATINET </w:instrText>
            </w:r>
            <w:r w:rsidRPr="00EC0C6A">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"http://www.wipo.int/romarin/images/11/71/1171753.jpg"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"http://www.wipo.int/romarin/images/11/71/1171753.jpg" \* MERGEFORMATINET </w:instrText>
            </w:r>
            <w:r>
              <w:rPr>
                <w:rFonts w:ascii="Arial" w:hAnsi="Arial" w:cs="Arial"/>
                <w:sz w:val="20"/>
                <w:szCs w:val="20"/>
              </w:rPr>
              <w:fldChar w:fldCharType="separate"/>
            </w:r>
            <w:r w:rsidR="00CD3D72">
              <w:rPr>
                <w:rFonts w:ascii="Arial" w:hAnsi="Arial" w:cs="Arial"/>
                <w:sz w:val="20"/>
                <w:szCs w:val="20"/>
              </w:rPr>
              <w:fldChar w:fldCharType="begin"/>
            </w:r>
            <w:r w:rsidR="00CD3D72">
              <w:rPr>
                <w:rFonts w:ascii="Arial" w:hAnsi="Arial" w:cs="Arial"/>
                <w:sz w:val="20"/>
                <w:szCs w:val="20"/>
              </w:rPr>
              <w:instrText xml:space="preserve"> INCLUDEPICTURE  "http://www.wipo.int/romarin/images/11/71/1171753.jpg" \* MERGEFORMATINET </w:instrText>
            </w:r>
            <w:r w:rsidR="00CD3D72">
              <w:rPr>
                <w:rFonts w:ascii="Arial" w:hAnsi="Arial" w:cs="Arial"/>
                <w:sz w:val="20"/>
                <w:szCs w:val="20"/>
              </w:rPr>
              <w:fldChar w:fldCharType="separate"/>
            </w:r>
            <w:r w:rsidR="00E93C75">
              <w:rPr>
                <w:rFonts w:ascii="Arial" w:hAnsi="Arial" w:cs="Arial"/>
                <w:sz w:val="20"/>
                <w:szCs w:val="20"/>
              </w:rPr>
              <w:fldChar w:fldCharType="begin"/>
            </w:r>
            <w:r w:rsidR="00E93C75">
              <w:rPr>
                <w:rFonts w:ascii="Arial" w:hAnsi="Arial" w:cs="Arial"/>
                <w:sz w:val="20"/>
                <w:szCs w:val="20"/>
              </w:rPr>
              <w:instrText xml:space="preserve"> INCLUDEPICTURE  "http://www.wipo.int/romarin/images/11/71/1171753.jpg" \* MERGEFORMATINET </w:instrText>
            </w:r>
            <w:r w:rsidR="00E93C75">
              <w:rPr>
                <w:rFonts w:ascii="Arial" w:hAnsi="Arial" w:cs="Arial"/>
                <w:sz w:val="20"/>
                <w:szCs w:val="20"/>
              </w:rPr>
              <w:fldChar w:fldCharType="separate"/>
            </w:r>
            <w:r w:rsidR="003C1568">
              <w:rPr>
                <w:rFonts w:ascii="Arial" w:hAnsi="Arial" w:cs="Arial"/>
                <w:sz w:val="20"/>
                <w:szCs w:val="20"/>
              </w:rPr>
              <w:fldChar w:fldCharType="begin"/>
            </w:r>
            <w:r w:rsidR="003C1568">
              <w:rPr>
                <w:rFonts w:ascii="Arial" w:hAnsi="Arial" w:cs="Arial"/>
                <w:sz w:val="20"/>
                <w:szCs w:val="20"/>
              </w:rPr>
              <w:instrText xml:space="preserve"> INCLUDEPICTURE  "http://www.wipo.int/romarin/images/11/71/1171753.jpg" \* MERGEFORMATINET </w:instrText>
            </w:r>
            <w:r w:rsidR="003C1568">
              <w:rPr>
                <w:rFonts w:ascii="Arial" w:hAnsi="Arial" w:cs="Arial"/>
                <w:sz w:val="20"/>
                <w:szCs w:val="20"/>
              </w:rPr>
              <w:fldChar w:fldCharType="separate"/>
            </w:r>
            <w:r w:rsidR="00544425">
              <w:rPr>
                <w:rFonts w:ascii="Arial" w:hAnsi="Arial" w:cs="Arial"/>
                <w:sz w:val="20"/>
                <w:szCs w:val="20"/>
              </w:rPr>
              <w:fldChar w:fldCharType="begin"/>
            </w:r>
            <w:r w:rsidR="00544425">
              <w:rPr>
                <w:rFonts w:ascii="Arial" w:hAnsi="Arial" w:cs="Arial"/>
                <w:sz w:val="20"/>
                <w:szCs w:val="20"/>
              </w:rPr>
              <w:instrText xml:space="preserve"> </w:instrText>
            </w:r>
            <w:r w:rsidR="00544425">
              <w:rPr>
                <w:rFonts w:ascii="Arial" w:hAnsi="Arial" w:cs="Arial"/>
                <w:sz w:val="20"/>
                <w:szCs w:val="20"/>
              </w:rPr>
              <w:instrText>INCLUDEPICTURE  "http://www.wipo.int/romarin/images/11/71/1171753.jpg" \* MERGEFORMATINET</w:instrText>
            </w:r>
            <w:r w:rsidR="00544425">
              <w:rPr>
                <w:rFonts w:ascii="Arial" w:hAnsi="Arial" w:cs="Arial"/>
                <w:sz w:val="20"/>
                <w:szCs w:val="20"/>
              </w:rPr>
              <w:instrText xml:space="preserve"> </w:instrText>
            </w:r>
            <w:r w:rsidR="00544425">
              <w:rPr>
                <w:rFonts w:ascii="Arial" w:hAnsi="Arial" w:cs="Arial"/>
                <w:sz w:val="20"/>
                <w:szCs w:val="20"/>
              </w:rPr>
              <w:fldChar w:fldCharType="separate"/>
            </w:r>
            <w:r w:rsidR="0020199A">
              <w:rPr>
                <w:rFonts w:ascii="Arial" w:hAnsi="Arial" w:cs="Arial"/>
                <w:sz w:val="20"/>
                <w:szCs w:val="20"/>
              </w:rPr>
              <w:pict w14:anchorId="702F806E">
                <v:shape id="_x0000_i1026" type="#_x0000_t75" alt="interest.me" style="width:51.75pt;height:36.75pt">
                  <v:imagedata r:id="rId9" r:href="rId10"/>
                </v:shape>
              </w:pict>
            </w:r>
            <w:r w:rsidR="00544425">
              <w:rPr>
                <w:rFonts w:ascii="Arial" w:eastAsiaTheme="minorHAnsi" w:hAnsi="Arial" w:cs="Arial"/>
                <w:sz w:val="20"/>
                <w:szCs w:val="20"/>
                <w:lang w:eastAsia="en-US"/>
              </w:rPr>
              <w:fldChar w:fldCharType="end"/>
            </w:r>
            <w:r w:rsidR="003C1568">
              <w:rPr>
                <w:rFonts w:ascii="Arial" w:hAnsi="Arial" w:cs="Arial"/>
                <w:sz w:val="20"/>
                <w:szCs w:val="20"/>
              </w:rPr>
              <w:fldChar w:fldCharType="end"/>
            </w:r>
            <w:r w:rsidR="00E93C75">
              <w:rPr>
                <w:rFonts w:ascii="Arial" w:hAnsi="Arial" w:cs="Arial"/>
                <w:sz w:val="20"/>
                <w:szCs w:val="20"/>
              </w:rPr>
              <w:fldChar w:fldCharType="end"/>
            </w:r>
            <w:r w:rsidR="00CD3D72">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EC0C6A">
              <w:rPr>
                <w:rFonts w:ascii="Arial" w:hAnsi="Arial" w:cs="Arial"/>
                <w:sz w:val="20"/>
                <w:szCs w:val="20"/>
              </w:rPr>
              <w:fldChar w:fldCharType="end"/>
            </w:r>
            <w:r w:rsidRPr="00EC0C6A">
              <w:rPr>
                <w:rFonts w:ascii="Arial" w:hAnsi="Arial" w:cs="Arial"/>
                <w:sz w:val="20"/>
                <w:szCs w:val="20"/>
              </w:rPr>
              <w:t>”</w:t>
            </w:r>
          </w:p>
        </w:tc>
      </w:tr>
      <w:tr w:rsidR="006273DC" w:rsidRPr="00EC0C6A" w14:paraId="0ED7D37C" w14:textId="77777777" w:rsidTr="0043492C">
        <w:tc>
          <w:tcPr>
            <w:tcW w:w="1252" w:type="dxa"/>
          </w:tcPr>
          <w:p w14:paraId="6476D6B2" w14:textId="77777777" w:rsidR="006273DC" w:rsidRPr="00EC0C6A" w:rsidRDefault="006273DC" w:rsidP="00077001">
            <w:pPr>
              <w:jc w:val="both"/>
              <w:rPr>
                <w:rFonts w:ascii="Arial" w:hAnsi="Arial" w:cs="Arial"/>
                <w:color w:val="374151"/>
                <w:sz w:val="20"/>
                <w:szCs w:val="20"/>
                <w:shd w:val="clear" w:color="auto" w:fill="F7F7F8"/>
              </w:rPr>
            </w:pPr>
            <w:r w:rsidRPr="00EC0C6A">
              <w:rPr>
                <w:rFonts w:ascii="Arial" w:hAnsi="Arial" w:cs="Arial"/>
                <w:color w:val="374151"/>
                <w:sz w:val="20"/>
                <w:szCs w:val="20"/>
                <w:shd w:val="clear" w:color="auto" w:fill="F7F7F8"/>
              </w:rPr>
              <w:t>09</w:t>
            </w:r>
          </w:p>
        </w:tc>
        <w:tc>
          <w:tcPr>
            <w:tcW w:w="4413" w:type="dxa"/>
          </w:tcPr>
          <w:p w14:paraId="3E1765B2" w14:textId="77777777" w:rsidR="006273DC" w:rsidRPr="00EC0C6A" w:rsidRDefault="006273DC" w:rsidP="00077001">
            <w:pPr>
              <w:jc w:val="both"/>
              <w:rPr>
                <w:rFonts w:ascii="Arial" w:hAnsi="Arial" w:cs="Arial"/>
                <w:sz w:val="20"/>
                <w:szCs w:val="20"/>
              </w:rPr>
            </w:pPr>
            <w:r w:rsidRPr="00EC0C6A">
              <w:rPr>
                <w:rFonts w:ascii="Arial" w:hAnsi="Arial" w:cs="Arial"/>
                <w:sz w:val="20"/>
                <w:szCs w:val="20"/>
              </w:rPr>
              <w:t xml:space="preserve">Downloadable electronic </w:t>
            </w:r>
            <w:r w:rsidRPr="0043492C">
              <w:rPr>
                <w:rFonts w:ascii="Arial" w:hAnsi="Arial" w:cs="Arial"/>
                <w:sz w:val="20"/>
                <w:szCs w:val="20"/>
              </w:rPr>
              <w:t>publications, namely,</w:t>
            </w:r>
            <w:r w:rsidRPr="00EC0C6A">
              <w:rPr>
                <w:rFonts w:ascii="Arial" w:hAnsi="Arial" w:cs="Arial"/>
                <w:sz w:val="20"/>
                <w:szCs w:val="20"/>
              </w:rPr>
              <w:t xml:space="preserve"> guides to travel, accommodation, cities, the countryside, the sea, rivers, lakes, sightseeing and cultural activities; downloadable computer software for travel and holiday planning and booking of travel and temporary accommodation.</w:t>
            </w:r>
          </w:p>
          <w:p w14:paraId="22A5413F" w14:textId="77777777" w:rsidR="006273DC" w:rsidRPr="00EC0C6A" w:rsidRDefault="006273DC" w:rsidP="00077001">
            <w:pPr>
              <w:jc w:val="both"/>
              <w:rPr>
                <w:rFonts w:ascii="Arial" w:hAnsi="Arial" w:cs="Arial"/>
                <w:color w:val="374151"/>
                <w:sz w:val="20"/>
                <w:szCs w:val="20"/>
                <w:shd w:val="clear" w:color="auto" w:fill="F7F7F8"/>
              </w:rPr>
            </w:pPr>
          </w:p>
        </w:tc>
        <w:tc>
          <w:tcPr>
            <w:tcW w:w="3685" w:type="dxa"/>
          </w:tcPr>
          <w:p w14:paraId="38C4D0B9" w14:textId="77777777" w:rsidR="006273DC" w:rsidRPr="00EC0C6A" w:rsidRDefault="006273DC" w:rsidP="00077001">
            <w:pPr>
              <w:jc w:val="both"/>
              <w:rPr>
                <w:rFonts w:ascii="Arial" w:hAnsi="Arial" w:cs="Arial"/>
                <w:sz w:val="20"/>
                <w:szCs w:val="20"/>
              </w:rPr>
            </w:pPr>
            <w:r w:rsidRPr="00EC0C6A">
              <w:rPr>
                <w:rFonts w:ascii="Arial" w:hAnsi="Arial" w:cs="Arial"/>
                <w:sz w:val="20"/>
                <w:szCs w:val="20"/>
              </w:rPr>
              <w:t xml:space="preserve">Downloadable music files; electronic </w:t>
            </w:r>
            <w:r w:rsidRPr="00EC0C6A">
              <w:rPr>
                <w:rFonts w:ascii="Arial" w:hAnsi="Arial" w:cs="Arial"/>
                <w:color w:val="FF0000"/>
                <w:sz w:val="20"/>
                <w:szCs w:val="20"/>
              </w:rPr>
              <w:t>publications</w:t>
            </w:r>
            <w:r w:rsidRPr="00EC0C6A">
              <w:rPr>
                <w:rFonts w:ascii="Arial" w:hAnsi="Arial" w:cs="Arial"/>
                <w:sz w:val="20"/>
                <w:szCs w:val="20"/>
              </w:rPr>
              <w:t>, downloadable; electronic books, downloadable; data processing apparatus; audio- and video-receivers; pre-recorded music electronic media; apparatus for the recording, transmission and reproduction of sound and images; computer application software for mobile phones; computer game programs; pre-recorded non-musical electronic media.</w:t>
            </w:r>
          </w:p>
          <w:p w14:paraId="718823F1" w14:textId="77777777" w:rsidR="006273DC" w:rsidRPr="00EC0C6A" w:rsidRDefault="006273DC" w:rsidP="00077001">
            <w:pPr>
              <w:jc w:val="both"/>
              <w:rPr>
                <w:rFonts w:ascii="Arial" w:hAnsi="Arial" w:cs="Arial"/>
                <w:color w:val="374151"/>
                <w:sz w:val="20"/>
                <w:szCs w:val="20"/>
                <w:shd w:val="clear" w:color="auto" w:fill="F7F7F8"/>
              </w:rPr>
            </w:pPr>
          </w:p>
        </w:tc>
      </w:tr>
      <w:tr w:rsidR="006273DC" w:rsidRPr="00EC0C6A" w14:paraId="0DDB6489" w14:textId="77777777" w:rsidTr="0043492C">
        <w:tc>
          <w:tcPr>
            <w:tcW w:w="1252" w:type="dxa"/>
          </w:tcPr>
          <w:p w14:paraId="08D8E423" w14:textId="77777777" w:rsidR="006273DC" w:rsidRPr="00EC0C6A" w:rsidRDefault="006273DC" w:rsidP="00077001">
            <w:pPr>
              <w:jc w:val="both"/>
              <w:rPr>
                <w:rFonts w:ascii="Arial" w:hAnsi="Arial" w:cs="Arial"/>
                <w:color w:val="374151"/>
                <w:sz w:val="20"/>
                <w:szCs w:val="20"/>
                <w:shd w:val="clear" w:color="auto" w:fill="F7F7F8"/>
              </w:rPr>
            </w:pPr>
            <w:r w:rsidRPr="00EC0C6A">
              <w:rPr>
                <w:rFonts w:ascii="Arial" w:hAnsi="Arial" w:cs="Arial"/>
                <w:color w:val="374151"/>
                <w:sz w:val="20"/>
                <w:szCs w:val="20"/>
                <w:shd w:val="clear" w:color="auto" w:fill="F7F7F8"/>
              </w:rPr>
              <w:t>35</w:t>
            </w:r>
          </w:p>
        </w:tc>
        <w:tc>
          <w:tcPr>
            <w:tcW w:w="4413" w:type="dxa"/>
          </w:tcPr>
          <w:p w14:paraId="03B4CD03" w14:textId="77777777" w:rsidR="006273DC" w:rsidRPr="00EC0C6A" w:rsidRDefault="006273DC" w:rsidP="00077001">
            <w:pPr>
              <w:jc w:val="both"/>
              <w:rPr>
                <w:rFonts w:ascii="Arial" w:hAnsi="Arial" w:cs="Arial"/>
                <w:sz w:val="20"/>
                <w:szCs w:val="20"/>
              </w:rPr>
            </w:pPr>
            <w:r w:rsidRPr="00EA0168">
              <w:rPr>
                <w:rFonts w:ascii="Arial" w:hAnsi="Arial" w:cs="Arial"/>
                <w:sz w:val="20"/>
                <w:szCs w:val="20"/>
              </w:rPr>
              <w:t>Advertising; Business management, business administration;</w:t>
            </w:r>
            <w:r w:rsidRPr="00EC0C6A">
              <w:rPr>
                <w:rFonts w:ascii="Arial" w:hAnsi="Arial" w:cs="Arial"/>
                <w:sz w:val="20"/>
                <w:szCs w:val="20"/>
              </w:rPr>
              <w:t xml:space="preserve"> office functions; the bringing together, for the benefit of others, of writing implements, photographs, stationery, diaries, calendars, personal </w:t>
            </w:r>
            <w:proofErr w:type="spellStart"/>
            <w:r w:rsidRPr="00EC0C6A">
              <w:rPr>
                <w:rFonts w:ascii="Arial" w:hAnsi="Arial" w:cs="Arial"/>
                <w:sz w:val="20"/>
                <w:szCs w:val="20"/>
              </w:rPr>
              <w:t>organisers</w:t>
            </w:r>
            <w:proofErr w:type="spellEnd"/>
            <w:r w:rsidRPr="00EC0C6A">
              <w:rPr>
                <w:rFonts w:ascii="Arial" w:hAnsi="Arial" w:cs="Arial"/>
                <w:sz w:val="20"/>
                <w:szCs w:val="20"/>
              </w:rPr>
              <w:t xml:space="preserve">, posters, writing instruments, decalcomanias, playing cards, maps, games and playthings, clothing, footwear, headgear, gymnastic and sporting articles, travelling bags, umbrellas, enabling customers to conveniently view and purchase those goods in travel stores; </w:t>
            </w:r>
          </w:p>
          <w:p w14:paraId="4A29ABB4" w14:textId="77777777" w:rsidR="006273DC" w:rsidRPr="00EC0C6A" w:rsidRDefault="006273DC" w:rsidP="00077001">
            <w:pPr>
              <w:jc w:val="both"/>
              <w:rPr>
                <w:rFonts w:ascii="Arial" w:hAnsi="Arial" w:cs="Arial"/>
                <w:sz w:val="20"/>
                <w:szCs w:val="20"/>
              </w:rPr>
            </w:pPr>
          </w:p>
          <w:p w14:paraId="3BACFA66" w14:textId="77777777" w:rsidR="006273DC" w:rsidRPr="00EC0C6A" w:rsidRDefault="006273DC" w:rsidP="00077001">
            <w:pPr>
              <w:jc w:val="both"/>
              <w:rPr>
                <w:rFonts w:ascii="Arial" w:hAnsi="Arial" w:cs="Arial"/>
                <w:sz w:val="20"/>
                <w:szCs w:val="20"/>
              </w:rPr>
            </w:pPr>
            <w:r w:rsidRPr="00EC0C6A">
              <w:rPr>
                <w:rFonts w:ascii="Arial" w:hAnsi="Arial" w:cs="Arial"/>
                <w:sz w:val="20"/>
                <w:szCs w:val="20"/>
              </w:rPr>
              <w:t xml:space="preserve">the bringing together, for the benefit of others, of writing implements, photographs, stationery, diaries, calendars, personal </w:t>
            </w:r>
            <w:proofErr w:type="spellStart"/>
            <w:r w:rsidRPr="00EC0C6A">
              <w:rPr>
                <w:rFonts w:ascii="Arial" w:hAnsi="Arial" w:cs="Arial"/>
                <w:sz w:val="20"/>
                <w:szCs w:val="20"/>
              </w:rPr>
              <w:t>organisers</w:t>
            </w:r>
            <w:proofErr w:type="spellEnd"/>
            <w:r w:rsidRPr="00EC0C6A">
              <w:rPr>
                <w:rFonts w:ascii="Arial" w:hAnsi="Arial" w:cs="Arial"/>
                <w:sz w:val="20"/>
                <w:szCs w:val="20"/>
              </w:rPr>
              <w:t xml:space="preserve">, posters, writing instruments, decalcomanias, playing cards, maps, games and playthings, clothing, footwear, headgear, gymnastic and sporting articles, travelling bags, umbrellas, enabling customers to conveniently view and purchase those goods in a travel catalogue by mail order or by means of telecommunications; </w:t>
            </w:r>
          </w:p>
          <w:p w14:paraId="760EE502" w14:textId="77777777" w:rsidR="006273DC" w:rsidRPr="00EC0C6A" w:rsidRDefault="006273DC" w:rsidP="00077001">
            <w:pPr>
              <w:jc w:val="both"/>
              <w:rPr>
                <w:rFonts w:ascii="Arial" w:hAnsi="Arial" w:cs="Arial"/>
                <w:sz w:val="20"/>
                <w:szCs w:val="20"/>
              </w:rPr>
            </w:pPr>
          </w:p>
          <w:p w14:paraId="34746248" w14:textId="77777777" w:rsidR="006273DC" w:rsidRPr="006273DC" w:rsidRDefault="006273DC" w:rsidP="00077001">
            <w:pPr>
              <w:jc w:val="both"/>
              <w:rPr>
                <w:rFonts w:ascii="Arial" w:hAnsi="Arial" w:cs="Arial"/>
                <w:sz w:val="20"/>
                <w:szCs w:val="20"/>
              </w:rPr>
            </w:pPr>
            <w:r w:rsidRPr="006273DC">
              <w:rPr>
                <w:rFonts w:ascii="Arial" w:hAnsi="Arial" w:cs="Arial"/>
                <w:sz w:val="20"/>
                <w:szCs w:val="20"/>
              </w:rPr>
              <w:lastRenderedPageBreak/>
              <w:t>consultancy services relating to the acquisition of goods and services; business advisory and information services; provision of trade, business, economic information; business research services; complication and provision of business information; dissemination of business information relating to financial markets.</w:t>
            </w:r>
          </w:p>
          <w:p w14:paraId="6FEB3500" w14:textId="77777777" w:rsidR="006273DC" w:rsidRPr="00EC0C6A" w:rsidRDefault="006273DC" w:rsidP="00077001">
            <w:pPr>
              <w:jc w:val="both"/>
              <w:rPr>
                <w:rFonts w:ascii="Arial" w:hAnsi="Arial" w:cs="Arial"/>
                <w:color w:val="374151"/>
                <w:sz w:val="20"/>
                <w:szCs w:val="20"/>
                <w:shd w:val="clear" w:color="auto" w:fill="F7F7F8"/>
              </w:rPr>
            </w:pPr>
          </w:p>
        </w:tc>
        <w:tc>
          <w:tcPr>
            <w:tcW w:w="3685" w:type="dxa"/>
          </w:tcPr>
          <w:p w14:paraId="2D5D40D4" w14:textId="77777777" w:rsidR="006273DC" w:rsidRPr="00EC0C6A" w:rsidRDefault="006273DC" w:rsidP="00077001">
            <w:pPr>
              <w:jc w:val="both"/>
              <w:rPr>
                <w:rFonts w:ascii="Arial" w:hAnsi="Arial" w:cs="Arial"/>
                <w:sz w:val="20"/>
                <w:szCs w:val="20"/>
              </w:rPr>
            </w:pPr>
            <w:r w:rsidRPr="00EC0C6A">
              <w:rPr>
                <w:rFonts w:ascii="Arial" w:hAnsi="Arial" w:cs="Arial"/>
                <w:sz w:val="20"/>
                <w:szCs w:val="20"/>
              </w:rPr>
              <w:lastRenderedPageBreak/>
              <w:t xml:space="preserve">Auctioneering; </w:t>
            </w:r>
            <w:r w:rsidRPr="00EC0C6A">
              <w:rPr>
                <w:rFonts w:ascii="Arial" w:hAnsi="Arial" w:cs="Arial"/>
                <w:color w:val="FF0000"/>
                <w:sz w:val="20"/>
                <w:szCs w:val="20"/>
              </w:rPr>
              <w:t>rental of advertising space and advertising material; advertising agencies</w:t>
            </w:r>
            <w:r w:rsidRPr="00EC0C6A">
              <w:rPr>
                <w:rFonts w:ascii="Arial" w:hAnsi="Arial" w:cs="Arial"/>
                <w:sz w:val="20"/>
                <w:szCs w:val="20"/>
              </w:rPr>
              <w:t xml:space="preserve">; creating and updating </w:t>
            </w:r>
            <w:r w:rsidRPr="00EC0C6A">
              <w:rPr>
                <w:rFonts w:ascii="Arial" w:hAnsi="Arial" w:cs="Arial"/>
                <w:color w:val="FF0000"/>
                <w:sz w:val="20"/>
                <w:szCs w:val="20"/>
              </w:rPr>
              <w:t>advertising material</w:t>
            </w:r>
            <w:r w:rsidRPr="00EC0C6A">
              <w:rPr>
                <w:rFonts w:ascii="Arial" w:hAnsi="Arial" w:cs="Arial"/>
                <w:sz w:val="20"/>
                <w:szCs w:val="20"/>
              </w:rPr>
              <w:t>; publication of publicity texts; marketing services; providing business and marketing information; public relations; marketing research; dissemination of advertising for others via the Internet; providing an on-line commercial information directory on the Internet; compilation of information into computer databases; on-line advertising on a computer network; data search in computer files for others; sales promotion for others.</w:t>
            </w:r>
          </w:p>
          <w:p w14:paraId="6D8CDA5B" w14:textId="77777777" w:rsidR="006273DC" w:rsidRPr="00EC0C6A" w:rsidRDefault="006273DC" w:rsidP="00077001">
            <w:pPr>
              <w:jc w:val="both"/>
              <w:rPr>
                <w:rFonts w:ascii="Arial" w:hAnsi="Arial" w:cs="Arial"/>
                <w:sz w:val="20"/>
                <w:szCs w:val="20"/>
              </w:rPr>
            </w:pPr>
          </w:p>
          <w:p w14:paraId="4FA1D0FD" w14:textId="77777777" w:rsidR="006273DC" w:rsidRPr="00EC0C6A" w:rsidRDefault="006273DC" w:rsidP="00077001">
            <w:pPr>
              <w:jc w:val="both"/>
              <w:rPr>
                <w:rFonts w:ascii="Arial" w:hAnsi="Arial" w:cs="Arial"/>
                <w:color w:val="374151"/>
                <w:sz w:val="20"/>
                <w:szCs w:val="20"/>
                <w:shd w:val="clear" w:color="auto" w:fill="F7F7F8"/>
              </w:rPr>
            </w:pPr>
          </w:p>
        </w:tc>
      </w:tr>
    </w:tbl>
    <w:p w14:paraId="52FC2D08" w14:textId="195A9CAC" w:rsidR="006273DC" w:rsidRDefault="00A14A11" w:rsidP="007375E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296A1019" wp14:editId="745900BD">
                <wp:simplePos x="0" y="0"/>
                <wp:positionH relativeFrom="column">
                  <wp:posOffset>6414135</wp:posOffset>
                </wp:positionH>
                <wp:positionV relativeFrom="paragraph">
                  <wp:posOffset>-1523365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3B96B" w14:textId="77777777" w:rsidR="00A14A11" w:rsidRPr="00BA68B8" w:rsidRDefault="00A14A11" w:rsidP="00A14A11">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1019" id="Rectangle 1" o:spid="_x0000_s1028" style="position:absolute;left:0;text-align:left;margin-left:505.05pt;margin-top:-119.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" fillcolor="#00b39c" strokecolor="#00b39c" strokeweight="0">
                <v:textbox style="layout-flow:vertical">
                  <w:txbxContent>
                    <w:p w14:paraId="7903B96B" w14:textId="77777777" w:rsidR="00A14A11" w:rsidRPr="00BA68B8" w:rsidRDefault="00A14A11" w:rsidP="00A14A11">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v:textbox>
              </v:rect>
            </w:pict>
          </mc:Fallback>
        </mc:AlternateContent>
      </w:r>
    </w:p>
    <w:p w14:paraId="7A32E735" w14:textId="3166CF4F" w:rsidR="006273DC" w:rsidRPr="007375E8" w:rsidRDefault="006273DC" w:rsidP="007375E8">
      <w:pPr>
        <w:spacing w:after="0" w:line="240" w:lineRule="auto"/>
        <w:jc w:val="both"/>
        <w:rPr>
          <w:rFonts w:ascii="Arial" w:hAnsi="Arial" w:cs="Arial"/>
          <w:iCs/>
          <w:sz w:val="20"/>
          <w:szCs w:val="20"/>
        </w:rPr>
      </w:pPr>
    </w:p>
    <w:p w14:paraId="2D353701" w14:textId="52DD6805" w:rsidR="00151853" w:rsidRPr="00EC0C6A" w:rsidRDefault="00151853" w:rsidP="00151853">
      <w:pPr>
        <w:spacing w:after="0" w:line="240" w:lineRule="auto"/>
        <w:jc w:val="both"/>
        <w:rPr>
          <w:rFonts w:ascii="Arial" w:eastAsia="Times New Roman" w:hAnsi="Arial" w:cs="Arial"/>
          <w:color w:val="000000"/>
          <w:sz w:val="20"/>
          <w:szCs w:val="20"/>
          <w:bdr w:val="none" w:sz="0" w:space="0" w:color="auto" w:frame="1"/>
        </w:rPr>
      </w:pPr>
      <w:r w:rsidRPr="00EC0C6A">
        <w:rPr>
          <w:rFonts w:ascii="Arial" w:eastAsia="Times New Roman" w:hAnsi="Arial" w:cs="Arial"/>
          <w:color w:val="000000"/>
          <w:sz w:val="20"/>
          <w:szCs w:val="20"/>
          <w:bdr w:val="none" w:sz="0" w:space="0" w:color="auto" w:frame="1"/>
        </w:rPr>
        <w:t>IP VIETNAM declined the registration of the requested trademark due to purportedly confusing similarities between the figurative elements of both the requested mark and a prior mark (denoted as "</w:t>
      </w:r>
      <w:r w:rsidRPr="00EC0C6A">
        <w:rPr>
          <w:rFonts w:ascii="Arial" w:eastAsia="Times New Roman" w:hAnsi="Arial" w:cs="Arial"/>
          <w:color w:val="000000"/>
          <w:sz w:val="20"/>
          <w:szCs w:val="20"/>
          <w:bdr w:val="none" w:sz="0" w:space="0" w:color="auto" w:frame="1"/>
        </w:rPr>
        <w:fldChar w:fldCharType="begin"/>
      </w:r>
      <w:r w:rsidRPr="00EC0C6A">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Pr="00EC0C6A">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Pr>
          <w:rFonts w:ascii="Arial" w:eastAsia="Times New Roman" w:hAnsi="Arial" w:cs="Arial"/>
          <w:color w:val="000000"/>
          <w:sz w:val="20"/>
          <w:szCs w:val="20"/>
          <w:bdr w:val="none" w:sz="0" w:space="0" w:color="auto" w:frame="1"/>
        </w:rPr>
        <w:fldChar w:fldCharType="separate"/>
      </w:r>
      <w:r w:rsidR="00E93C75">
        <w:rPr>
          <w:rFonts w:ascii="Arial" w:eastAsia="Times New Roman" w:hAnsi="Arial" w:cs="Arial"/>
          <w:color w:val="000000"/>
          <w:sz w:val="20"/>
          <w:szCs w:val="20"/>
          <w:bdr w:val="none" w:sz="0" w:space="0" w:color="auto" w:frame="1"/>
        </w:rPr>
        <w:fldChar w:fldCharType="begin"/>
      </w:r>
      <w:r w:rsidR="00E93C75">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E93C75">
        <w:rPr>
          <w:rFonts w:ascii="Arial" w:eastAsia="Times New Roman" w:hAnsi="Arial" w:cs="Arial"/>
          <w:color w:val="000000"/>
          <w:sz w:val="20"/>
          <w:szCs w:val="20"/>
          <w:bdr w:val="none" w:sz="0" w:space="0" w:color="auto" w:frame="1"/>
        </w:rPr>
        <w:fldChar w:fldCharType="separate"/>
      </w:r>
      <w:r w:rsidR="003C1568">
        <w:rPr>
          <w:rFonts w:ascii="Arial" w:eastAsia="Times New Roman" w:hAnsi="Arial" w:cs="Arial"/>
          <w:color w:val="000000"/>
          <w:sz w:val="20"/>
          <w:szCs w:val="20"/>
          <w:bdr w:val="none" w:sz="0" w:space="0" w:color="auto" w:frame="1"/>
        </w:rPr>
        <w:fldChar w:fldCharType="begin"/>
      </w:r>
      <w:r w:rsidR="003C1568">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3C1568">
        <w:rPr>
          <w:rFonts w:ascii="Arial" w:eastAsia="Times New Roman" w:hAnsi="Arial" w:cs="Arial"/>
          <w:color w:val="000000"/>
          <w:sz w:val="20"/>
          <w:szCs w:val="20"/>
          <w:bdr w:val="none" w:sz="0" w:space="0" w:color="auto" w:frame="1"/>
        </w:rPr>
        <w:fldChar w:fldCharType="separate"/>
      </w:r>
      <w:r w:rsidR="00544425">
        <w:rPr>
          <w:rFonts w:ascii="Arial" w:eastAsia="Times New Roman" w:hAnsi="Arial" w:cs="Arial"/>
          <w:color w:val="000000"/>
          <w:sz w:val="20"/>
          <w:szCs w:val="20"/>
          <w:bdr w:val="none" w:sz="0" w:space="0" w:color="auto" w:frame="1"/>
        </w:rPr>
        <w:fldChar w:fldCharType="begin"/>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instrText>INCLUDEPICTURE  "http://www.wipo.int/romarin/images/12/25/1225463.jpg" \* MERGEFORMATINET</w:instrText>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fldChar w:fldCharType="separate"/>
      </w:r>
      <w:r w:rsidR="0020199A">
        <w:rPr>
          <w:rFonts w:ascii="Arial" w:eastAsia="Times New Roman" w:hAnsi="Arial" w:cs="Arial"/>
          <w:color w:val="000000"/>
          <w:sz w:val="20"/>
          <w:szCs w:val="20"/>
          <w:bdr w:val="none" w:sz="0" w:space="0" w:color="auto" w:frame="1"/>
        </w:rPr>
        <w:pict w14:anchorId="75FD6A59">
          <v:shape id="_x0000_i1027" type="#_x0000_t75" alt="Thomas Cook" style="width:37.5pt;height:33pt">
            <v:imagedata r:id="rId7" r:href="rId11" cropright="51773f"/>
          </v:shape>
        </w:pict>
      </w:r>
      <w:r w:rsidR="00544425">
        <w:rPr>
          <w:rFonts w:ascii="Arial" w:eastAsia="Times New Roman" w:hAnsi="Arial" w:cs="Arial"/>
          <w:color w:val="000000"/>
          <w:sz w:val="20"/>
          <w:szCs w:val="20"/>
          <w:bdr w:val="none" w:sz="0" w:space="0" w:color="auto" w:frame="1"/>
        </w:rPr>
        <w:fldChar w:fldCharType="end"/>
      </w:r>
      <w:r w:rsidR="003C1568">
        <w:rPr>
          <w:rFonts w:ascii="Arial" w:eastAsia="Times New Roman" w:hAnsi="Arial" w:cs="Arial"/>
          <w:color w:val="000000"/>
          <w:sz w:val="20"/>
          <w:szCs w:val="20"/>
          <w:bdr w:val="none" w:sz="0" w:space="0" w:color="auto" w:frame="1"/>
        </w:rPr>
        <w:fldChar w:fldCharType="end"/>
      </w:r>
      <w:r w:rsidR="00E93C75">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t>" and "</w:t>
      </w:r>
      <w:r w:rsidRPr="00EC0C6A">
        <w:rPr>
          <w:rFonts w:ascii="Arial" w:eastAsia="Times New Roman" w:hAnsi="Arial" w:cs="Arial"/>
          <w:color w:val="000000"/>
          <w:sz w:val="20"/>
          <w:szCs w:val="20"/>
          <w:bdr w:val="none" w:sz="0" w:space="0" w:color="auto" w:frame="1"/>
        </w:rPr>
        <w:fldChar w:fldCharType="begin"/>
      </w:r>
      <w:r w:rsidRPr="00EC0C6A">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Pr="00EC0C6A">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Pr>
          <w:rFonts w:ascii="Arial" w:eastAsia="Times New Roman" w:hAnsi="Arial" w:cs="Arial"/>
          <w:color w:val="000000"/>
          <w:sz w:val="20"/>
          <w:szCs w:val="20"/>
          <w:bdr w:val="none" w:sz="0" w:space="0" w:color="auto" w:frame="1"/>
        </w:rPr>
        <w:fldChar w:fldCharType="separate"/>
      </w:r>
      <w:r w:rsidR="00E93C75">
        <w:rPr>
          <w:rFonts w:ascii="Arial" w:eastAsia="Times New Roman" w:hAnsi="Arial" w:cs="Arial"/>
          <w:color w:val="000000"/>
          <w:sz w:val="20"/>
          <w:szCs w:val="20"/>
          <w:bdr w:val="none" w:sz="0" w:space="0" w:color="auto" w:frame="1"/>
        </w:rPr>
        <w:fldChar w:fldCharType="begin"/>
      </w:r>
      <w:r w:rsidR="00E93C75">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E93C75">
        <w:rPr>
          <w:rFonts w:ascii="Arial" w:eastAsia="Times New Roman" w:hAnsi="Arial" w:cs="Arial"/>
          <w:color w:val="000000"/>
          <w:sz w:val="20"/>
          <w:szCs w:val="20"/>
          <w:bdr w:val="none" w:sz="0" w:space="0" w:color="auto" w:frame="1"/>
        </w:rPr>
        <w:fldChar w:fldCharType="separate"/>
      </w:r>
      <w:r w:rsidR="003C1568">
        <w:rPr>
          <w:rFonts w:ascii="Arial" w:eastAsia="Times New Roman" w:hAnsi="Arial" w:cs="Arial"/>
          <w:color w:val="000000"/>
          <w:sz w:val="20"/>
          <w:szCs w:val="20"/>
          <w:bdr w:val="none" w:sz="0" w:space="0" w:color="auto" w:frame="1"/>
        </w:rPr>
        <w:fldChar w:fldCharType="begin"/>
      </w:r>
      <w:r w:rsidR="003C1568">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3C1568">
        <w:rPr>
          <w:rFonts w:ascii="Arial" w:eastAsia="Times New Roman" w:hAnsi="Arial" w:cs="Arial"/>
          <w:color w:val="000000"/>
          <w:sz w:val="20"/>
          <w:szCs w:val="20"/>
          <w:bdr w:val="none" w:sz="0" w:space="0" w:color="auto" w:frame="1"/>
        </w:rPr>
        <w:fldChar w:fldCharType="separate"/>
      </w:r>
      <w:r w:rsidR="00544425">
        <w:rPr>
          <w:rFonts w:ascii="Arial" w:eastAsia="Times New Roman" w:hAnsi="Arial" w:cs="Arial"/>
          <w:color w:val="000000"/>
          <w:sz w:val="20"/>
          <w:szCs w:val="20"/>
          <w:bdr w:val="none" w:sz="0" w:space="0" w:color="auto" w:frame="1"/>
        </w:rPr>
        <w:fldChar w:fldCharType="begin"/>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instrText>INCLUDEPICTURE  "http://www.wipo.int/romarin/images/11/71</w:instrText>
      </w:r>
      <w:r w:rsidR="00544425">
        <w:rPr>
          <w:rFonts w:ascii="Arial" w:eastAsia="Times New Roman" w:hAnsi="Arial" w:cs="Arial"/>
          <w:color w:val="000000"/>
          <w:sz w:val="20"/>
          <w:szCs w:val="20"/>
          <w:bdr w:val="none" w:sz="0" w:space="0" w:color="auto" w:frame="1"/>
        </w:rPr>
        <w:instrText>/1171753.jpg" \* MERGEFORMATINET</w:instrText>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fldChar w:fldCharType="separate"/>
      </w:r>
      <w:r w:rsidR="0020199A">
        <w:rPr>
          <w:rFonts w:ascii="Arial" w:eastAsia="Times New Roman" w:hAnsi="Arial" w:cs="Arial"/>
          <w:color w:val="000000"/>
          <w:sz w:val="20"/>
          <w:szCs w:val="20"/>
          <w:bdr w:val="none" w:sz="0" w:space="0" w:color="auto" w:frame="1"/>
        </w:rPr>
        <w:pict w14:anchorId="15E5D551">
          <v:shape id="_x0000_i1028" type="#_x0000_t75" alt="interest.me" style="width:36.75pt;height:29.25pt">
            <v:imagedata r:id="rId9" r:href="rId12" cropbottom="21533f" cropleft="13375f" cropright="12706f"/>
          </v:shape>
        </w:pict>
      </w:r>
      <w:r w:rsidR="00544425">
        <w:rPr>
          <w:rFonts w:ascii="Arial" w:eastAsia="Times New Roman" w:hAnsi="Arial" w:cs="Arial"/>
          <w:color w:val="000000"/>
          <w:sz w:val="20"/>
          <w:szCs w:val="20"/>
          <w:bdr w:val="none" w:sz="0" w:space="0" w:color="auto" w:frame="1"/>
        </w:rPr>
        <w:fldChar w:fldCharType="end"/>
      </w:r>
      <w:r w:rsidR="003C1568">
        <w:rPr>
          <w:rFonts w:ascii="Arial" w:eastAsia="Times New Roman" w:hAnsi="Arial" w:cs="Arial"/>
          <w:color w:val="000000"/>
          <w:sz w:val="20"/>
          <w:szCs w:val="20"/>
          <w:bdr w:val="none" w:sz="0" w:space="0" w:color="auto" w:frame="1"/>
        </w:rPr>
        <w:fldChar w:fldCharType="end"/>
      </w:r>
      <w:r w:rsidR="00E93C75">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t>"), as well as similarities between the goods/services listed in the same classes (09 and 35).</w:t>
      </w:r>
    </w:p>
    <w:p w14:paraId="04357D49" w14:textId="41EE81FC" w:rsidR="00EA0168" w:rsidRPr="00EA0168" w:rsidRDefault="00EA0168" w:rsidP="00EA0168">
      <w:pPr>
        <w:spacing w:after="0" w:line="240" w:lineRule="auto"/>
        <w:jc w:val="both"/>
        <w:rPr>
          <w:rFonts w:ascii="Arial" w:hAnsi="Arial" w:cs="Arial"/>
          <w:iCs/>
          <w:sz w:val="20"/>
          <w:szCs w:val="20"/>
        </w:rPr>
      </w:pPr>
    </w:p>
    <w:p w14:paraId="1314068E" w14:textId="77777777" w:rsidR="00EA0168" w:rsidRPr="00722FDC" w:rsidRDefault="00EA0168" w:rsidP="00EA0168">
      <w:pPr>
        <w:spacing w:after="0" w:line="240" w:lineRule="auto"/>
        <w:jc w:val="both"/>
        <w:rPr>
          <w:rFonts w:ascii="Arial" w:eastAsia="Calibri" w:hAnsi="Arial" w:cs="Arial"/>
          <w:b/>
          <w:bCs/>
          <w:color w:val="0000FF"/>
          <w:sz w:val="20"/>
          <w:szCs w:val="20"/>
        </w:rPr>
      </w:pPr>
    </w:p>
    <w:p w14:paraId="024C2F6F" w14:textId="77777777" w:rsidR="00EA0168" w:rsidRPr="00722FDC" w:rsidRDefault="00EA0168" w:rsidP="00EA0168">
      <w:pPr>
        <w:spacing w:after="0" w:line="240" w:lineRule="auto"/>
        <w:jc w:val="both"/>
        <w:rPr>
          <w:rFonts w:ascii="Arial" w:eastAsia="Calibri" w:hAnsi="Arial" w:cs="Arial"/>
          <w:b/>
          <w:bCs/>
          <w:color w:val="0000FF"/>
          <w:sz w:val="20"/>
          <w:szCs w:val="20"/>
        </w:rPr>
      </w:pPr>
      <w:r w:rsidRPr="00722FDC">
        <w:rPr>
          <w:rFonts w:ascii="Arial" w:eastAsia="Calibri" w:hAnsi="Arial" w:cs="Arial"/>
          <w:b/>
          <w:bCs/>
          <w:color w:val="0000FF"/>
          <w:sz w:val="20"/>
          <w:szCs w:val="20"/>
        </w:rPr>
        <w:t>What actions have been taken to overcome IP VIETNAM’s refusal?</w:t>
      </w:r>
    </w:p>
    <w:p w14:paraId="3FC4717E" w14:textId="77777777" w:rsidR="00EA0168" w:rsidRPr="00EA0168" w:rsidRDefault="00EA0168" w:rsidP="00EA0168">
      <w:pPr>
        <w:spacing w:after="0" w:line="240" w:lineRule="auto"/>
        <w:jc w:val="both"/>
        <w:rPr>
          <w:rFonts w:ascii="Arial" w:hAnsi="Arial" w:cs="Arial"/>
          <w:iCs/>
          <w:sz w:val="20"/>
          <w:szCs w:val="20"/>
        </w:rPr>
      </w:pPr>
    </w:p>
    <w:p w14:paraId="6E42C324"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To prove that a finding of confusion has not been established, KENFOX team utilized a comprehensive approach to analyze and distinguish the applied-for mark from a prior mark, focusing on various trademark properties such as trademark constituents, connotation, and commercial impression. However, our efforts did not stop there. We went above and beyond in analyzing the differences between the goods/services associated with both marks, even after the client agreed to delete some of the highlighted goods and services in Classes 09 and 35. With a thorough and convincing demonstration of the </w:t>
      </w:r>
      <w:proofErr w:type="spellStart"/>
      <w:r w:rsidRPr="00EA0168">
        <w:rPr>
          <w:rFonts w:ascii="Arial" w:hAnsi="Arial" w:cs="Arial"/>
          <w:iCs/>
          <w:sz w:val="20"/>
          <w:szCs w:val="20"/>
        </w:rPr>
        <w:t>unrelatedness</w:t>
      </w:r>
      <w:proofErr w:type="spellEnd"/>
      <w:r w:rsidRPr="00EA0168">
        <w:rPr>
          <w:rFonts w:ascii="Arial" w:hAnsi="Arial" w:cs="Arial"/>
          <w:iCs/>
          <w:sz w:val="20"/>
          <w:szCs w:val="20"/>
        </w:rPr>
        <w:t xml:space="preserve"> of the goods/services, despite being classified in the same class, IP VIETNAM ultimately agreed to withdraw its refusal and issued a statement of grant of protection for our client's marks.</w:t>
      </w:r>
    </w:p>
    <w:p w14:paraId="12454127" w14:textId="77777777" w:rsidR="00EA0168" w:rsidRPr="00EA0168" w:rsidRDefault="00EA0168" w:rsidP="00EA0168">
      <w:pPr>
        <w:spacing w:after="0" w:line="240" w:lineRule="auto"/>
        <w:jc w:val="both"/>
        <w:rPr>
          <w:rFonts w:ascii="Arial" w:hAnsi="Arial" w:cs="Arial"/>
          <w:iCs/>
          <w:sz w:val="20"/>
          <w:szCs w:val="20"/>
        </w:rPr>
      </w:pPr>
    </w:p>
    <w:p w14:paraId="05E13F6D" w14:textId="77777777" w:rsidR="00EA0168" w:rsidRPr="00722FDC" w:rsidRDefault="00EA0168" w:rsidP="00EA0168">
      <w:pPr>
        <w:spacing w:after="0" w:line="240" w:lineRule="auto"/>
        <w:jc w:val="both"/>
        <w:rPr>
          <w:rFonts w:ascii="Arial" w:eastAsia="Calibri" w:hAnsi="Arial" w:cs="Arial"/>
          <w:b/>
          <w:bCs/>
          <w:color w:val="0000FF"/>
          <w:sz w:val="20"/>
          <w:szCs w:val="20"/>
        </w:rPr>
      </w:pPr>
      <w:r w:rsidRPr="00722FDC">
        <w:rPr>
          <w:rFonts w:ascii="Arial" w:eastAsia="Calibri" w:hAnsi="Arial" w:cs="Arial"/>
          <w:b/>
          <w:bCs/>
          <w:color w:val="0000FF"/>
          <w:sz w:val="20"/>
          <w:szCs w:val="20"/>
        </w:rPr>
        <w:t>Some key takeaways</w:t>
      </w:r>
    </w:p>
    <w:p w14:paraId="2D4AEC4D" w14:textId="77777777" w:rsidR="00EA0168" w:rsidRPr="00EA0168" w:rsidRDefault="00EA0168" w:rsidP="00EA0168">
      <w:pPr>
        <w:spacing w:after="0" w:line="240" w:lineRule="auto"/>
        <w:jc w:val="both"/>
        <w:rPr>
          <w:rFonts w:ascii="Arial" w:hAnsi="Arial" w:cs="Arial"/>
          <w:iCs/>
          <w:sz w:val="20"/>
          <w:szCs w:val="20"/>
        </w:rPr>
      </w:pPr>
    </w:p>
    <w:p w14:paraId="2E580630" w14:textId="77777777" w:rsidR="00EA0168" w:rsidRPr="00722FDC" w:rsidRDefault="00EA0168" w:rsidP="00EA0168">
      <w:pPr>
        <w:spacing w:after="0" w:line="240" w:lineRule="auto"/>
        <w:jc w:val="both"/>
        <w:rPr>
          <w:rFonts w:ascii="Arial" w:hAnsi="Arial" w:cs="Arial"/>
          <w:b/>
          <w:iCs/>
          <w:sz w:val="20"/>
          <w:szCs w:val="20"/>
        </w:rPr>
      </w:pPr>
      <w:r w:rsidRPr="00722FDC">
        <w:rPr>
          <w:rFonts w:ascii="Arial" w:hAnsi="Arial" w:cs="Arial"/>
          <w:b/>
          <w:iCs/>
          <w:sz w:val="20"/>
          <w:szCs w:val="20"/>
        </w:rPr>
        <w:t>Trademark examination in Vietnam</w:t>
      </w:r>
    </w:p>
    <w:p w14:paraId="01F22C78" w14:textId="77777777" w:rsidR="00EA0168" w:rsidRPr="00EA0168" w:rsidRDefault="00EA0168" w:rsidP="00EA0168">
      <w:pPr>
        <w:spacing w:after="0" w:line="240" w:lineRule="auto"/>
        <w:jc w:val="both"/>
        <w:rPr>
          <w:rFonts w:ascii="Arial" w:hAnsi="Arial" w:cs="Arial"/>
          <w:iCs/>
          <w:sz w:val="20"/>
          <w:szCs w:val="20"/>
        </w:rPr>
      </w:pPr>
    </w:p>
    <w:p w14:paraId="42A0A094"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In some jurisdictions, people might argue that the above-mentioned trademarks are not similar. However, in Vietnam, when it comes to composite marks, examiners tend to divide trademarks into two distinct elements - the figurative element and the verbal element - to evaluate their registrability. This approach often leads to overly strict and unnecessary refusals of trademarks, causing frustration for businesses seeking to protect their brand. By focusing solely on the figurate or verbal aspects of a trademark, examiners may overlook the overall impression and distinctiveness that a trademark can convey. This narrow approach to trademark examination may limit the availability of trademarks in the market and prevent businesses from effectively distinguishing themselves from their competitors. However, proponents of this practice argue that it helps ensure that only truly distinctive marks are registered, preventing confusion among consumers and protecting the integrity of the trademark system.</w:t>
      </w:r>
    </w:p>
    <w:p w14:paraId="273D3552" w14:textId="77777777" w:rsidR="00EA0168" w:rsidRPr="00EA0168" w:rsidRDefault="00EA0168" w:rsidP="00EA0168">
      <w:pPr>
        <w:spacing w:after="0" w:line="240" w:lineRule="auto"/>
        <w:jc w:val="both"/>
        <w:rPr>
          <w:rFonts w:ascii="Arial" w:hAnsi="Arial" w:cs="Arial"/>
          <w:iCs/>
          <w:sz w:val="20"/>
          <w:szCs w:val="20"/>
        </w:rPr>
      </w:pPr>
    </w:p>
    <w:p w14:paraId="72335650" w14:textId="77777777" w:rsidR="00EA0168" w:rsidRPr="00722FDC" w:rsidRDefault="00EA0168" w:rsidP="00EA0168">
      <w:pPr>
        <w:spacing w:after="0" w:line="240" w:lineRule="auto"/>
        <w:jc w:val="both"/>
        <w:rPr>
          <w:rFonts w:ascii="Arial" w:hAnsi="Arial" w:cs="Arial"/>
          <w:b/>
          <w:iCs/>
          <w:sz w:val="20"/>
          <w:szCs w:val="20"/>
        </w:rPr>
      </w:pPr>
      <w:r w:rsidRPr="00722FDC">
        <w:rPr>
          <w:rFonts w:ascii="Arial" w:hAnsi="Arial" w:cs="Arial"/>
          <w:b/>
          <w:iCs/>
          <w:sz w:val="20"/>
          <w:szCs w:val="20"/>
        </w:rPr>
        <w:t xml:space="preserve">Goods/services relatedness in examining trademark registrability in Vietnam </w:t>
      </w:r>
    </w:p>
    <w:p w14:paraId="36833EDD" w14:textId="77777777" w:rsidR="00EA0168" w:rsidRPr="00EA0168" w:rsidRDefault="00EA0168" w:rsidP="00EA0168">
      <w:pPr>
        <w:spacing w:after="0" w:line="240" w:lineRule="auto"/>
        <w:jc w:val="both"/>
        <w:rPr>
          <w:rFonts w:ascii="Arial" w:hAnsi="Arial" w:cs="Arial"/>
          <w:iCs/>
          <w:sz w:val="20"/>
          <w:szCs w:val="20"/>
        </w:rPr>
      </w:pPr>
    </w:p>
    <w:p w14:paraId="640F6B3E"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In order to determine whether a sign sought to be registered and stated in a trademark application is identical or confusingly similar to another mark (“the cited mark”), an examiner is required (</w:t>
      </w:r>
      <w:proofErr w:type="spellStart"/>
      <w:r w:rsidRPr="00EA0168">
        <w:rPr>
          <w:rFonts w:ascii="Arial" w:hAnsi="Arial" w:cs="Arial"/>
          <w:iCs/>
          <w:sz w:val="20"/>
          <w:szCs w:val="20"/>
        </w:rPr>
        <w:t>i</w:t>
      </w:r>
      <w:proofErr w:type="spellEnd"/>
      <w:r w:rsidRPr="00EA0168">
        <w:rPr>
          <w:rFonts w:ascii="Arial" w:hAnsi="Arial" w:cs="Arial"/>
          <w:iCs/>
          <w:sz w:val="20"/>
          <w:szCs w:val="20"/>
        </w:rPr>
        <w:t>) to compare such sign to the cited mark(s) and at the same time (ii) to compare goods or services bearing such sign to those bearing the cited mark(s). A finding of likelihood of confusion may be established if the following two conditions are fully met:</w:t>
      </w:r>
    </w:p>
    <w:p w14:paraId="3E9203E3" w14:textId="77777777" w:rsidR="00EA0168" w:rsidRPr="00EA0168" w:rsidRDefault="00EA0168" w:rsidP="00EA0168">
      <w:pPr>
        <w:spacing w:after="0" w:line="240" w:lineRule="auto"/>
        <w:jc w:val="both"/>
        <w:rPr>
          <w:rFonts w:ascii="Arial" w:hAnsi="Arial" w:cs="Arial"/>
          <w:iCs/>
          <w:sz w:val="20"/>
          <w:szCs w:val="20"/>
        </w:rPr>
      </w:pPr>
    </w:p>
    <w:p w14:paraId="02ABF78E" w14:textId="4FCFAC38" w:rsidR="00EA0168" w:rsidRPr="00A1150D" w:rsidRDefault="003C1568" w:rsidP="00A1150D">
      <w:pPr>
        <w:pStyle w:val="ListParagraph"/>
        <w:numPr>
          <w:ilvl w:val="0"/>
          <w:numId w:val="18"/>
        </w:numPr>
        <w:spacing w:after="0" w:line="240" w:lineRule="auto"/>
        <w:jc w:val="both"/>
        <w:rPr>
          <w:rFonts w:ascii="Arial" w:hAnsi="Arial" w:cs="Arial"/>
          <w:iCs/>
          <w:sz w:val="20"/>
          <w:szCs w:val="20"/>
        </w:rPr>
      </w:pPr>
      <w:hyperlink r:id="rId13" w:history="1">
        <w:r w:rsidR="00EA0168" w:rsidRPr="008208B8">
          <w:rPr>
            <w:rStyle w:val="Hyperlink"/>
            <w:rFonts w:ascii="Arial" w:hAnsi="Arial" w:cs="Arial"/>
            <w:iCs/>
            <w:sz w:val="20"/>
            <w:szCs w:val="20"/>
          </w:rPr>
          <w:t>A sign is identical or confusingly similar to the cited mark</w:t>
        </w:r>
      </w:hyperlink>
      <w:r w:rsidR="00EA0168" w:rsidRPr="00A1150D">
        <w:rPr>
          <w:rFonts w:ascii="Arial" w:hAnsi="Arial" w:cs="Arial"/>
          <w:iCs/>
          <w:sz w:val="20"/>
          <w:szCs w:val="20"/>
        </w:rPr>
        <w:t>. In detail, the examiner in Vietnam examines the similarity or dissimilarity of the sign/mark(s) in their entireties as to appearance, pronunciation, connotation, etc. Under the laws, if similarity is found in either appearance, pronunciation or connotation, the trademark is found similar to the prior mark.</w:t>
      </w:r>
    </w:p>
    <w:p w14:paraId="1A44BF21" w14:textId="77777777" w:rsidR="00EA0168" w:rsidRPr="00EA0168" w:rsidRDefault="00EA0168" w:rsidP="00EA0168">
      <w:pPr>
        <w:spacing w:after="0" w:line="240" w:lineRule="auto"/>
        <w:jc w:val="both"/>
        <w:rPr>
          <w:rFonts w:ascii="Arial" w:hAnsi="Arial" w:cs="Arial"/>
          <w:iCs/>
          <w:sz w:val="20"/>
          <w:szCs w:val="20"/>
        </w:rPr>
      </w:pPr>
    </w:p>
    <w:p w14:paraId="5A6525D6" w14:textId="2180F777" w:rsidR="00EA0168" w:rsidRPr="00A1150D" w:rsidRDefault="00544425" w:rsidP="00A1150D">
      <w:pPr>
        <w:pStyle w:val="ListParagraph"/>
        <w:numPr>
          <w:ilvl w:val="0"/>
          <w:numId w:val="18"/>
        </w:numPr>
        <w:spacing w:after="0" w:line="240" w:lineRule="auto"/>
        <w:jc w:val="both"/>
        <w:rPr>
          <w:rFonts w:ascii="Arial" w:hAnsi="Arial" w:cs="Arial"/>
          <w:iCs/>
          <w:sz w:val="20"/>
          <w:szCs w:val="20"/>
          <w:u w:val="single"/>
        </w:rPr>
      </w:pPr>
      <w:hyperlink r:id="rId14" w:history="1">
        <w:r w:rsidR="00EA0168" w:rsidRPr="004032D8">
          <w:rPr>
            <w:rStyle w:val="Hyperlink"/>
            <w:rFonts w:ascii="Arial" w:hAnsi="Arial" w:cs="Arial"/>
            <w:iCs/>
            <w:sz w:val="20"/>
            <w:szCs w:val="20"/>
          </w:rPr>
          <w:t>Goods or services bearing an applied-for mark is identical or similar/related to the protected goods or services claimed under a prior mark</w:t>
        </w:r>
      </w:hyperlink>
      <w:r w:rsidR="00471D72">
        <w:rPr>
          <w:rFonts w:ascii="Arial" w:hAnsi="Arial" w:cs="Arial"/>
          <w:iCs/>
          <w:sz w:val="20"/>
          <w:szCs w:val="20"/>
          <w:u w:val="single"/>
        </w:rPr>
        <w:t xml:space="preserve">  </w:t>
      </w:r>
      <w:r w:rsidR="00EA0168" w:rsidRPr="00A1150D">
        <w:rPr>
          <w:rFonts w:ascii="Arial" w:hAnsi="Arial" w:cs="Arial"/>
          <w:iCs/>
          <w:sz w:val="20"/>
          <w:szCs w:val="20"/>
          <w:u w:val="single"/>
        </w:rPr>
        <w:t>.</w:t>
      </w:r>
    </w:p>
    <w:p w14:paraId="75697335" w14:textId="22673807" w:rsidR="00EA0168" w:rsidRPr="00EA0168" w:rsidRDefault="00EA0168" w:rsidP="00EA0168">
      <w:pPr>
        <w:spacing w:after="0" w:line="240" w:lineRule="auto"/>
        <w:jc w:val="both"/>
        <w:rPr>
          <w:rFonts w:ascii="Arial" w:hAnsi="Arial" w:cs="Arial"/>
          <w:iCs/>
          <w:sz w:val="20"/>
          <w:szCs w:val="20"/>
        </w:rPr>
      </w:pPr>
    </w:p>
    <w:p w14:paraId="6975AABE" w14:textId="123690A9"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In </w:t>
      </w:r>
      <w:hyperlink r:id="rId15" w:history="1">
        <w:r w:rsidRPr="008208B8">
          <w:rPr>
            <w:rStyle w:val="Hyperlink"/>
            <w:rFonts w:ascii="Arial" w:hAnsi="Arial" w:cs="Arial"/>
            <w:iCs/>
            <w:sz w:val="20"/>
            <w:szCs w:val="20"/>
          </w:rPr>
          <w:t>trademark substantive examination process in Vietnam</w:t>
        </w:r>
      </w:hyperlink>
      <w:r w:rsidRPr="00EA0168">
        <w:rPr>
          <w:rFonts w:ascii="Arial" w:hAnsi="Arial" w:cs="Arial"/>
          <w:iCs/>
          <w:sz w:val="20"/>
          <w:szCs w:val="20"/>
        </w:rPr>
        <w:t xml:space="preserve">, if an applied-for trademark is deemed confusingly similar to a prior mark, the examiner shall assess similarity/relatedness of the goods/services bearing the </w:t>
      </w:r>
      <w:r w:rsidR="00B94A22"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097C203" wp14:editId="4D7884AC">
                <wp:simplePos x="0" y="0"/>
                <wp:positionH relativeFrom="column">
                  <wp:posOffset>6414135</wp:posOffset>
                </wp:positionH>
                <wp:positionV relativeFrom="paragraph">
                  <wp:posOffset>-318135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1E052" w14:textId="77777777" w:rsidR="00EF68EE" w:rsidRPr="00BA68B8" w:rsidRDefault="00EF68EE" w:rsidP="00EF68EE">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7C203" id="Rectangle 3" o:spid="_x0000_s1029" style="position:absolute;left:0;text-align:left;margin-left:505.05pt;margin-top:-25.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" fillcolor="#00b39c" strokecolor="#00b39c" strokeweight="0">
                <v:textbox style="layout-flow:vertical">
                  <w:txbxContent>
                    <w:p w14:paraId="7F51E052" w14:textId="77777777" w:rsidR="00EF68EE" w:rsidRPr="00BA68B8" w:rsidRDefault="00EF68EE" w:rsidP="00EF68EE">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v:textbox>
              </v:rect>
            </w:pict>
          </mc:Fallback>
        </mc:AlternateContent>
      </w:r>
      <w:r w:rsidRPr="00EA0168">
        <w:rPr>
          <w:rFonts w:ascii="Arial" w:hAnsi="Arial" w:cs="Arial"/>
          <w:iCs/>
          <w:sz w:val="20"/>
          <w:szCs w:val="20"/>
        </w:rPr>
        <w:t>marks in question to determine whether a finding of confusion should establish to allow or reject protection of the applied-for trademark. Thus, goods or services do not have to be the same or even competitive and still there can be a likelihood of confusion.</w:t>
      </w:r>
    </w:p>
    <w:p w14:paraId="622429D7" w14:textId="503AFD29" w:rsidR="00EA0168" w:rsidRPr="00EA0168" w:rsidRDefault="00EA0168" w:rsidP="00EA0168">
      <w:pPr>
        <w:spacing w:after="0" w:line="240" w:lineRule="auto"/>
        <w:jc w:val="both"/>
        <w:rPr>
          <w:rFonts w:ascii="Arial" w:hAnsi="Arial" w:cs="Arial"/>
          <w:iCs/>
          <w:sz w:val="20"/>
          <w:szCs w:val="20"/>
        </w:rPr>
      </w:pPr>
    </w:p>
    <w:p w14:paraId="20660FBF" w14:textId="73991061"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In the above case, IP VIETNAM issued a provisional refusal against the applied-for mark based on the contention that there exists a high level of similarity between the figurative element of both the applied-for mark and a prior mark (denoted as " </w:t>
      </w:r>
      <w:r w:rsidR="00CB1DA9" w:rsidRPr="00EC0C6A">
        <w:rPr>
          <w:rFonts w:ascii="Arial" w:eastAsia="Times New Roman" w:hAnsi="Arial" w:cs="Arial"/>
          <w:color w:val="000000"/>
          <w:sz w:val="20"/>
          <w:szCs w:val="20"/>
          <w:bdr w:val="none" w:sz="0" w:space="0" w:color="auto" w:frame="1"/>
        </w:rPr>
        <w:fldChar w:fldCharType="begin"/>
      </w:r>
      <w:r w:rsidR="00CB1DA9" w:rsidRPr="00EC0C6A">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sidRPr="00EC0C6A">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pict w14:anchorId="7C16FC8D">
          <v:shape id="_x0000_i1031" type="#_x0000_t75" alt="Thomas Cook" style="width:37.5pt;height:33pt">
            <v:imagedata r:id="rId7" r:href="rId16" cropright="51773f"/>
          </v:shape>
        </w:pict>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sidRPr="00EC0C6A">
        <w:rPr>
          <w:rFonts w:ascii="Arial" w:eastAsia="Times New Roman" w:hAnsi="Arial" w:cs="Arial"/>
          <w:color w:val="000000"/>
          <w:sz w:val="20"/>
          <w:szCs w:val="20"/>
          <w:bdr w:val="none" w:sz="0" w:space="0" w:color="auto" w:frame="1"/>
        </w:rPr>
        <w:fldChar w:fldCharType="end"/>
      </w:r>
      <w:r w:rsidRPr="00EA0168">
        <w:rPr>
          <w:rFonts w:ascii="Arial" w:hAnsi="Arial" w:cs="Arial"/>
          <w:iCs/>
          <w:sz w:val="20"/>
          <w:szCs w:val="20"/>
        </w:rPr>
        <w:t xml:space="preserve">" and " </w:t>
      </w:r>
      <w:bookmarkStart w:id="0" w:name="_GoBack"/>
      <w:bookmarkEnd w:id="0"/>
      <w:r w:rsidR="00CB1DA9" w:rsidRPr="00EC0C6A">
        <w:rPr>
          <w:rFonts w:ascii="Arial" w:eastAsia="Times New Roman" w:hAnsi="Arial" w:cs="Arial"/>
          <w:color w:val="000000"/>
          <w:sz w:val="20"/>
          <w:szCs w:val="20"/>
          <w:bdr w:val="none" w:sz="0" w:space="0" w:color="auto" w:frame="1"/>
        </w:rPr>
        <w:fldChar w:fldCharType="begin"/>
      </w:r>
      <w:r w:rsidR="00CB1DA9" w:rsidRPr="00EC0C6A">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sidRPr="00EC0C6A">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fldChar w:fldCharType="begin"/>
      </w:r>
      <w:r w:rsidR="00CB1DA9">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B1DA9">
        <w:rPr>
          <w:rFonts w:ascii="Arial" w:eastAsia="Times New Roman" w:hAnsi="Arial" w:cs="Arial"/>
          <w:color w:val="000000"/>
          <w:sz w:val="20"/>
          <w:szCs w:val="20"/>
          <w:bdr w:val="none" w:sz="0" w:space="0" w:color="auto" w:frame="1"/>
        </w:rPr>
        <w:fldChar w:fldCharType="separate"/>
      </w:r>
      <w:r w:rsidR="00CB1DA9">
        <w:rPr>
          <w:rFonts w:ascii="Arial" w:eastAsia="Times New Roman" w:hAnsi="Arial" w:cs="Arial"/>
          <w:color w:val="000000"/>
          <w:sz w:val="20"/>
          <w:szCs w:val="20"/>
          <w:bdr w:val="none" w:sz="0" w:space="0" w:color="auto" w:frame="1"/>
        </w:rPr>
        <w:pict w14:anchorId="623703C9">
          <v:shape id="_x0000_i1032" type="#_x0000_t75" alt="interest.me" style="width:36.75pt;height:29.25pt">
            <v:imagedata r:id="rId9" r:href="rId17" cropbottom="21533f" cropleft="13375f" cropright="12706f"/>
          </v:shape>
        </w:pict>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Pr>
          <w:rFonts w:ascii="Arial" w:eastAsia="Times New Roman" w:hAnsi="Arial" w:cs="Arial"/>
          <w:color w:val="000000"/>
          <w:sz w:val="20"/>
          <w:szCs w:val="20"/>
          <w:bdr w:val="none" w:sz="0" w:space="0" w:color="auto" w:frame="1"/>
        </w:rPr>
        <w:fldChar w:fldCharType="end"/>
      </w:r>
      <w:r w:rsidR="00CB1DA9" w:rsidRPr="00EC0C6A">
        <w:rPr>
          <w:rFonts w:ascii="Arial" w:eastAsia="Times New Roman" w:hAnsi="Arial" w:cs="Arial"/>
          <w:color w:val="000000"/>
          <w:sz w:val="20"/>
          <w:szCs w:val="20"/>
          <w:bdr w:val="none" w:sz="0" w:space="0" w:color="auto" w:frame="1"/>
        </w:rPr>
        <w:fldChar w:fldCharType="end"/>
      </w:r>
      <w:r w:rsidRPr="00EA0168">
        <w:rPr>
          <w:rFonts w:ascii="Arial" w:hAnsi="Arial" w:cs="Arial"/>
          <w:iCs/>
          <w:sz w:val="20"/>
          <w:szCs w:val="20"/>
        </w:rPr>
        <w:t xml:space="preserve">"), as well as similarities between the goods/services listed in the same Classes 09 and 35. According to IP VIETNAM, this likeness creates a likelihood of confusion regarding the commercial origin of the goods/services in question. In Vietnam, similarity/relatedness of the goods/services is assessed in compliance with Point 39.9, </w:t>
      </w:r>
      <w:hyperlink r:id="rId18" w:history="1">
        <w:r w:rsidRPr="008208B8">
          <w:rPr>
            <w:rStyle w:val="Hyperlink"/>
            <w:rFonts w:ascii="Arial" w:hAnsi="Arial" w:cs="Arial"/>
            <w:iCs/>
            <w:sz w:val="20"/>
            <w:szCs w:val="20"/>
          </w:rPr>
          <w:t>Circular No. 01/2007/TT-BKHCN</w:t>
        </w:r>
      </w:hyperlink>
      <w:r w:rsidRPr="00EA0168">
        <w:rPr>
          <w:rFonts w:ascii="Arial" w:hAnsi="Arial" w:cs="Arial"/>
          <w:iCs/>
          <w:sz w:val="20"/>
          <w:szCs w:val="20"/>
        </w:rPr>
        <w:t>, as revised. In detail:</w:t>
      </w:r>
    </w:p>
    <w:p w14:paraId="0676E8C8" w14:textId="171F18AC" w:rsidR="00EA0168" w:rsidRPr="00EA0168" w:rsidRDefault="00EA0168" w:rsidP="00EA0168">
      <w:pPr>
        <w:spacing w:after="0" w:line="240" w:lineRule="auto"/>
        <w:jc w:val="both"/>
        <w:rPr>
          <w:rFonts w:ascii="Arial" w:hAnsi="Arial" w:cs="Arial"/>
          <w:iCs/>
          <w:sz w:val="20"/>
          <w:szCs w:val="20"/>
        </w:rPr>
      </w:pPr>
    </w:p>
    <w:p w14:paraId="1ACD04B2"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[Point 39.9. Assessment of similarity of goods and services:</w:t>
      </w:r>
    </w:p>
    <w:p w14:paraId="4639D171" w14:textId="7B15978E" w:rsidR="00EA0168" w:rsidRPr="00EA0168" w:rsidRDefault="00EA0168" w:rsidP="00EA0168">
      <w:pPr>
        <w:spacing w:after="0" w:line="240" w:lineRule="auto"/>
        <w:jc w:val="both"/>
        <w:rPr>
          <w:rFonts w:ascii="Arial" w:hAnsi="Arial" w:cs="Arial"/>
          <w:iCs/>
          <w:sz w:val="20"/>
          <w:szCs w:val="20"/>
        </w:rPr>
      </w:pPr>
    </w:p>
    <w:p w14:paraId="3324BF68" w14:textId="1B8AD652"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a) </w:t>
      </w:r>
      <w:r w:rsidRPr="00A1150D">
        <w:rPr>
          <w:rFonts w:ascii="Arial" w:hAnsi="Arial" w:cs="Arial"/>
          <w:b/>
          <w:iCs/>
          <w:sz w:val="20"/>
          <w:szCs w:val="20"/>
        </w:rPr>
        <w:t>Two goods</w:t>
      </w:r>
      <w:r w:rsidRPr="00EA0168">
        <w:rPr>
          <w:rFonts w:ascii="Arial" w:hAnsi="Arial" w:cs="Arial"/>
          <w:iCs/>
          <w:sz w:val="20"/>
          <w:szCs w:val="20"/>
        </w:rPr>
        <w:t xml:space="preserve"> or </w:t>
      </w:r>
      <w:r w:rsidRPr="00A1150D">
        <w:rPr>
          <w:rFonts w:ascii="Arial" w:hAnsi="Arial" w:cs="Arial"/>
          <w:b/>
          <w:iCs/>
          <w:sz w:val="20"/>
          <w:szCs w:val="20"/>
        </w:rPr>
        <w:t>two services</w:t>
      </w:r>
      <w:r w:rsidRPr="00EA0168">
        <w:rPr>
          <w:rFonts w:ascii="Arial" w:hAnsi="Arial" w:cs="Arial"/>
          <w:iCs/>
          <w:sz w:val="20"/>
          <w:szCs w:val="20"/>
        </w:rPr>
        <w:t xml:space="preserve"> shall be considered </w:t>
      </w:r>
      <w:r w:rsidRPr="00A1150D">
        <w:rPr>
          <w:rFonts w:ascii="Arial" w:hAnsi="Arial" w:cs="Arial"/>
          <w:b/>
          <w:iCs/>
          <w:sz w:val="20"/>
          <w:szCs w:val="20"/>
        </w:rPr>
        <w:t xml:space="preserve">identical </w:t>
      </w:r>
      <w:r w:rsidRPr="00EA0168">
        <w:rPr>
          <w:rFonts w:ascii="Arial" w:hAnsi="Arial" w:cs="Arial"/>
          <w:iCs/>
          <w:sz w:val="20"/>
          <w:szCs w:val="20"/>
        </w:rPr>
        <w:t>(of the same type) if these two goods or services have the following characteristics:</w:t>
      </w:r>
    </w:p>
    <w:p w14:paraId="23CFCD14" w14:textId="086CBE45"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w:t>
      </w:r>
      <w:proofErr w:type="spellStart"/>
      <w:r w:rsidRPr="00A1150D">
        <w:rPr>
          <w:rFonts w:ascii="Arial" w:hAnsi="Arial" w:cs="Arial"/>
          <w:i/>
          <w:iCs/>
          <w:sz w:val="20"/>
          <w:szCs w:val="20"/>
        </w:rPr>
        <w:t>i</w:t>
      </w:r>
      <w:proofErr w:type="spellEnd"/>
      <w:r w:rsidRPr="00A1150D">
        <w:rPr>
          <w:rFonts w:ascii="Arial" w:hAnsi="Arial" w:cs="Arial"/>
          <w:i/>
          <w:iCs/>
          <w:sz w:val="20"/>
          <w:szCs w:val="20"/>
        </w:rPr>
        <w:t>) They have the same nature (composition, ingredients) and the same function and utility; or</w:t>
      </w:r>
    </w:p>
    <w:p w14:paraId="75FB3900" w14:textId="000D1F30"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(ii) They have similar natures and the same function and utility;</w:t>
      </w:r>
    </w:p>
    <w:p w14:paraId="41C6B2CE" w14:textId="4DF9C19B" w:rsidR="00EA0168" w:rsidRPr="00EA0168" w:rsidRDefault="00EA0168" w:rsidP="00EA0168">
      <w:pPr>
        <w:spacing w:after="0" w:line="240" w:lineRule="auto"/>
        <w:jc w:val="both"/>
        <w:rPr>
          <w:rFonts w:ascii="Arial" w:hAnsi="Arial" w:cs="Arial"/>
          <w:iCs/>
          <w:sz w:val="20"/>
          <w:szCs w:val="20"/>
        </w:rPr>
      </w:pPr>
    </w:p>
    <w:p w14:paraId="7EC661C6"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b) </w:t>
      </w:r>
      <w:r w:rsidRPr="00A1150D">
        <w:rPr>
          <w:rFonts w:ascii="Arial" w:hAnsi="Arial" w:cs="Arial"/>
          <w:b/>
          <w:iCs/>
          <w:sz w:val="20"/>
          <w:szCs w:val="20"/>
        </w:rPr>
        <w:t>Two goods</w:t>
      </w:r>
      <w:r w:rsidRPr="00EA0168">
        <w:rPr>
          <w:rFonts w:ascii="Arial" w:hAnsi="Arial" w:cs="Arial"/>
          <w:iCs/>
          <w:sz w:val="20"/>
          <w:szCs w:val="20"/>
        </w:rPr>
        <w:t xml:space="preserve"> or </w:t>
      </w:r>
      <w:r w:rsidRPr="00A1150D">
        <w:rPr>
          <w:rFonts w:ascii="Arial" w:hAnsi="Arial" w:cs="Arial"/>
          <w:b/>
          <w:iCs/>
          <w:sz w:val="20"/>
          <w:szCs w:val="20"/>
        </w:rPr>
        <w:t>two services</w:t>
      </w:r>
      <w:r w:rsidRPr="00EA0168">
        <w:rPr>
          <w:rFonts w:ascii="Arial" w:hAnsi="Arial" w:cs="Arial"/>
          <w:iCs/>
          <w:sz w:val="20"/>
          <w:szCs w:val="20"/>
        </w:rPr>
        <w:t xml:space="preserve"> shall be considered </w:t>
      </w:r>
      <w:r w:rsidRPr="00A1150D">
        <w:rPr>
          <w:rFonts w:ascii="Arial" w:hAnsi="Arial" w:cs="Arial"/>
          <w:b/>
          <w:iCs/>
          <w:sz w:val="20"/>
          <w:szCs w:val="20"/>
        </w:rPr>
        <w:t>similar</w:t>
      </w:r>
      <w:r w:rsidRPr="00EA0168">
        <w:rPr>
          <w:rFonts w:ascii="Arial" w:hAnsi="Arial" w:cs="Arial"/>
          <w:iCs/>
          <w:sz w:val="20"/>
          <w:szCs w:val="20"/>
        </w:rPr>
        <w:t xml:space="preserve"> if these two goods or services have the following characteristics:</w:t>
      </w:r>
    </w:p>
    <w:p w14:paraId="1BA1DA13"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w:t>
      </w:r>
      <w:proofErr w:type="spellStart"/>
      <w:r w:rsidRPr="00A1150D">
        <w:rPr>
          <w:rFonts w:ascii="Arial" w:hAnsi="Arial" w:cs="Arial"/>
          <w:i/>
          <w:iCs/>
          <w:sz w:val="20"/>
          <w:szCs w:val="20"/>
        </w:rPr>
        <w:t>i</w:t>
      </w:r>
      <w:proofErr w:type="spellEnd"/>
      <w:r w:rsidRPr="00A1150D">
        <w:rPr>
          <w:rFonts w:ascii="Arial" w:hAnsi="Arial" w:cs="Arial"/>
          <w:i/>
          <w:iCs/>
          <w:sz w:val="20"/>
          <w:szCs w:val="20"/>
        </w:rPr>
        <w:t>) They are similar in nature; or</w:t>
      </w:r>
    </w:p>
    <w:p w14:paraId="2B37C92B"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(ii) They are similar in function or utility; and</w:t>
      </w:r>
    </w:p>
    <w:p w14:paraId="162D4E4A"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(iii) They are marketed in the same commercial channel (they are distributed by the same mode, or sold together or compete with each other in the same type of shop…);</w:t>
      </w:r>
    </w:p>
    <w:p w14:paraId="6321344A" w14:textId="77777777" w:rsidR="00EA0168" w:rsidRPr="00EA0168" w:rsidRDefault="00EA0168" w:rsidP="00EA0168">
      <w:pPr>
        <w:spacing w:after="0" w:line="240" w:lineRule="auto"/>
        <w:jc w:val="both"/>
        <w:rPr>
          <w:rFonts w:ascii="Arial" w:hAnsi="Arial" w:cs="Arial"/>
          <w:iCs/>
          <w:sz w:val="20"/>
          <w:szCs w:val="20"/>
        </w:rPr>
      </w:pPr>
    </w:p>
    <w:p w14:paraId="0BDFD8B2"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 xml:space="preserve">c) </w:t>
      </w:r>
      <w:r w:rsidRPr="00A1150D">
        <w:rPr>
          <w:rFonts w:ascii="Arial" w:hAnsi="Arial" w:cs="Arial"/>
          <w:b/>
          <w:iCs/>
          <w:sz w:val="20"/>
          <w:szCs w:val="20"/>
        </w:rPr>
        <w:t>A goods</w:t>
      </w:r>
      <w:r w:rsidRPr="00EA0168">
        <w:rPr>
          <w:rFonts w:ascii="Arial" w:hAnsi="Arial" w:cs="Arial"/>
          <w:iCs/>
          <w:sz w:val="20"/>
          <w:szCs w:val="20"/>
        </w:rPr>
        <w:t xml:space="preserve"> and </w:t>
      </w:r>
      <w:r w:rsidRPr="00A1150D">
        <w:rPr>
          <w:rFonts w:ascii="Arial" w:hAnsi="Arial" w:cs="Arial"/>
          <w:b/>
          <w:iCs/>
          <w:sz w:val="20"/>
          <w:szCs w:val="20"/>
        </w:rPr>
        <w:t>a service</w:t>
      </w:r>
      <w:r w:rsidRPr="00EA0168">
        <w:rPr>
          <w:rFonts w:ascii="Arial" w:hAnsi="Arial" w:cs="Arial"/>
          <w:iCs/>
          <w:sz w:val="20"/>
          <w:szCs w:val="20"/>
        </w:rPr>
        <w:t xml:space="preserve"> shall be considered </w:t>
      </w:r>
      <w:r w:rsidRPr="00A1150D">
        <w:rPr>
          <w:rFonts w:ascii="Arial" w:hAnsi="Arial" w:cs="Arial"/>
          <w:b/>
          <w:iCs/>
          <w:sz w:val="20"/>
          <w:szCs w:val="20"/>
        </w:rPr>
        <w:t>similar</w:t>
      </w:r>
      <w:r w:rsidRPr="00EA0168">
        <w:rPr>
          <w:rFonts w:ascii="Arial" w:hAnsi="Arial" w:cs="Arial"/>
          <w:iCs/>
          <w:sz w:val="20"/>
          <w:szCs w:val="20"/>
        </w:rPr>
        <w:t xml:space="preserve"> if they fall into one or several of the following cases:</w:t>
      </w:r>
    </w:p>
    <w:p w14:paraId="2588E807" w14:textId="77777777" w:rsidR="00EA0168" w:rsidRPr="00EA0168" w:rsidRDefault="00EA0168" w:rsidP="00EA0168">
      <w:pPr>
        <w:spacing w:after="0" w:line="240" w:lineRule="auto"/>
        <w:jc w:val="both"/>
        <w:rPr>
          <w:rFonts w:ascii="Arial" w:hAnsi="Arial" w:cs="Arial"/>
          <w:iCs/>
          <w:sz w:val="20"/>
          <w:szCs w:val="20"/>
        </w:rPr>
      </w:pPr>
    </w:p>
    <w:p w14:paraId="103A1356"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w:t>
      </w:r>
      <w:proofErr w:type="spellStart"/>
      <w:r w:rsidRPr="00A1150D">
        <w:rPr>
          <w:rFonts w:ascii="Arial" w:hAnsi="Arial" w:cs="Arial"/>
          <w:i/>
          <w:iCs/>
          <w:sz w:val="20"/>
          <w:szCs w:val="20"/>
        </w:rPr>
        <w:t>i</w:t>
      </w:r>
      <w:proofErr w:type="spellEnd"/>
      <w:r w:rsidRPr="00A1150D">
        <w:rPr>
          <w:rFonts w:ascii="Arial" w:hAnsi="Arial" w:cs="Arial"/>
          <w:i/>
          <w:iCs/>
          <w:sz w:val="20"/>
          <w:szCs w:val="20"/>
        </w:rPr>
        <w:t>) They have a correlation in nature (a goods or service or a material or component of a goods or service forms constitutes part of the other); or</w:t>
      </w:r>
    </w:p>
    <w:p w14:paraId="1F0485F6"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(ii) They have a correlation in function (to accomplish the function of a goods or service, it is necessary to use the other or they are usually used together); or</w:t>
      </w:r>
    </w:p>
    <w:p w14:paraId="0B93FF4B" w14:textId="77777777" w:rsidR="00EA0168" w:rsidRPr="00A1150D" w:rsidRDefault="00EA0168" w:rsidP="00EA0168">
      <w:pPr>
        <w:spacing w:after="0" w:line="240" w:lineRule="auto"/>
        <w:jc w:val="both"/>
        <w:rPr>
          <w:rFonts w:ascii="Arial" w:hAnsi="Arial" w:cs="Arial"/>
          <w:i/>
          <w:iCs/>
          <w:sz w:val="20"/>
          <w:szCs w:val="20"/>
        </w:rPr>
      </w:pPr>
      <w:r w:rsidRPr="00A1150D">
        <w:rPr>
          <w:rFonts w:ascii="Arial" w:hAnsi="Arial" w:cs="Arial"/>
          <w:i/>
          <w:iCs/>
          <w:sz w:val="20"/>
          <w:szCs w:val="20"/>
        </w:rPr>
        <w:t>(iii) They have a close correlation in method of realization (a goods or service is the result of the use or exploitation of the other)].</w:t>
      </w:r>
    </w:p>
    <w:p w14:paraId="47B59A51" w14:textId="77777777" w:rsidR="00EA0168" w:rsidRPr="00EA0168" w:rsidRDefault="00EA0168" w:rsidP="00EA0168">
      <w:pPr>
        <w:spacing w:after="0" w:line="240" w:lineRule="auto"/>
        <w:jc w:val="both"/>
        <w:rPr>
          <w:rFonts w:ascii="Arial" w:hAnsi="Arial" w:cs="Arial"/>
          <w:iCs/>
          <w:sz w:val="20"/>
          <w:szCs w:val="20"/>
        </w:rPr>
      </w:pPr>
    </w:p>
    <w:p w14:paraId="1CEDE680"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In evaluating the relatedness of goods or services, the more similar the trademarks are, the less related the products or services need to be to cause a probability of confusion. This principle was demonstrated in Rule 23, Regulation on Trademark Examination in Vietnam, implying that [</w:t>
      </w:r>
      <w:r w:rsidRPr="00A1150D">
        <w:rPr>
          <w:rFonts w:ascii="Arial" w:hAnsi="Arial" w:cs="Arial"/>
          <w:i/>
          <w:iCs/>
          <w:sz w:val="20"/>
          <w:szCs w:val="20"/>
        </w:rPr>
        <w:t xml:space="preserve">An applied-for trademark may be deemed similar to a prior mark, but if the former is applied for the designated goods/services which are quite </w:t>
      </w:r>
      <w:r w:rsidRPr="00A1150D">
        <w:rPr>
          <w:rFonts w:ascii="Arial" w:hAnsi="Arial" w:cs="Arial"/>
          <w:i/>
          <w:iCs/>
          <w:sz w:val="20"/>
          <w:szCs w:val="20"/>
          <w:u w:val="single"/>
        </w:rPr>
        <w:t>remote/far</w:t>
      </w:r>
      <w:r w:rsidRPr="00A1150D">
        <w:rPr>
          <w:rFonts w:ascii="Arial" w:hAnsi="Arial" w:cs="Arial"/>
          <w:i/>
          <w:iCs/>
          <w:sz w:val="20"/>
          <w:szCs w:val="20"/>
        </w:rPr>
        <w:t xml:space="preserve"> from those claimed under the cited mark, likelihood of confusion may not occur</w:t>
      </w:r>
      <w:r w:rsidRPr="00EA0168">
        <w:rPr>
          <w:rFonts w:ascii="Arial" w:hAnsi="Arial" w:cs="Arial"/>
          <w:iCs/>
          <w:sz w:val="20"/>
          <w:szCs w:val="20"/>
        </w:rPr>
        <w:t>].</w:t>
      </w:r>
    </w:p>
    <w:p w14:paraId="6DB08481" w14:textId="77777777" w:rsidR="00EA0168" w:rsidRPr="00EA0168" w:rsidRDefault="00EA0168" w:rsidP="00EA0168">
      <w:pPr>
        <w:spacing w:after="0" w:line="240" w:lineRule="auto"/>
        <w:jc w:val="both"/>
        <w:rPr>
          <w:rFonts w:ascii="Arial" w:hAnsi="Arial" w:cs="Arial"/>
          <w:iCs/>
          <w:sz w:val="20"/>
          <w:szCs w:val="20"/>
        </w:rPr>
      </w:pPr>
    </w:p>
    <w:p w14:paraId="27D8380F"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Following Point 39.9, Circular No. 01/2007/TT-BKHCN, an examiner in Vietnam also assesses how consumers are encountering the goods/services in the marketplace (</w:t>
      </w:r>
      <w:r w:rsidRPr="00A1150D">
        <w:rPr>
          <w:rFonts w:ascii="Arial" w:hAnsi="Arial" w:cs="Arial"/>
          <w:i/>
          <w:iCs/>
          <w:sz w:val="20"/>
          <w:szCs w:val="20"/>
        </w:rPr>
        <w:t>i.e. marketing practices</w:t>
      </w:r>
      <w:r w:rsidRPr="00EA0168">
        <w:rPr>
          <w:rFonts w:ascii="Arial" w:hAnsi="Arial" w:cs="Arial"/>
          <w:iCs/>
          <w:sz w:val="20"/>
          <w:szCs w:val="20"/>
        </w:rPr>
        <w:t>) to determine a likelihood of confusion. In other words, if consumers encounter the goods/services and mistakenly believe they share a common source, affiliation, or connection, the marks will be considered confusingly similar. The specified goods/ services play a crucial role in determination of the similarity during the trademark examination in Vietnam. In fact, it is commonly held that confusion is likely where there are similar marks and one mark is for goods and the other is for a service related to those goods. E.g. An applied-for mark “XYZ” for “</w:t>
      </w:r>
      <w:r w:rsidRPr="0026031A">
        <w:rPr>
          <w:rFonts w:ascii="Arial" w:hAnsi="Arial" w:cs="Arial"/>
          <w:i/>
          <w:iCs/>
          <w:sz w:val="20"/>
          <w:szCs w:val="20"/>
        </w:rPr>
        <w:t>Wholesale and retail store services featuring motorcycles and their parts and accessories</w:t>
      </w:r>
      <w:r w:rsidRPr="00EA0168">
        <w:rPr>
          <w:rFonts w:ascii="Arial" w:hAnsi="Arial" w:cs="Arial"/>
          <w:iCs/>
          <w:sz w:val="20"/>
          <w:szCs w:val="20"/>
        </w:rPr>
        <w:t xml:space="preserve">” in Class 35 may be held </w:t>
      </w:r>
      <w:r w:rsidRPr="0026031A">
        <w:rPr>
          <w:rFonts w:ascii="Arial" w:hAnsi="Arial" w:cs="Arial"/>
          <w:iCs/>
          <w:sz w:val="20"/>
          <w:szCs w:val="20"/>
          <w:u w:val="single"/>
        </w:rPr>
        <w:t>likely</w:t>
      </w:r>
      <w:r w:rsidRPr="00EA0168">
        <w:rPr>
          <w:rFonts w:ascii="Arial" w:hAnsi="Arial" w:cs="Arial"/>
          <w:iCs/>
          <w:sz w:val="20"/>
          <w:szCs w:val="20"/>
        </w:rPr>
        <w:t xml:space="preserve"> to cause confusion with a prior mark “ZYX” for “</w:t>
      </w:r>
      <w:r w:rsidRPr="0026031A">
        <w:rPr>
          <w:rFonts w:ascii="Arial" w:hAnsi="Arial" w:cs="Arial"/>
          <w:i/>
          <w:iCs/>
          <w:sz w:val="20"/>
          <w:szCs w:val="20"/>
        </w:rPr>
        <w:t>motorcycles and their parts and accessories</w:t>
      </w:r>
      <w:r w:rsidRPr="00EA0168">
        <w:rPr>
          <w:rFonts w:ascii="Arial" w:hAnsi="Arial" w:cs="Arial"/>
          <w:iCs/>
          <w:sz w:val="20"/>
          <w:szCs w:val="20"/>
        </w:rPr>
        <w:t>” in Class 12. Similarly, the “</w:t>
      </w:r>
      <w:r w:rsidRPr="0026031A">
        <w:rPr>
          <w:rFonts w:ascii="Arial" w:hAnsi="Arial" w:cs="Arial"/>
          <w:i/>
          <w:iCs/>
          <w:sz w:val="20"/>
          <w:szCs w:val="20"/>
        </w:rPr>
        <w:t>alcoholic and non-alcoholic beverages</w:t>
      </w:r>
      <w:r w:rsidRPr="00EA0168">
        <w:rPr>
          <w:rFonts w:ascii="Arial" w:hAnsi="Arial" w:cs="Arial"/>
          <w:iCs/>
          <w:sz w:val="20"/>
          <w:szCs w:val="20"/>
        </w:rPr>
        <w:t>” in Class 32 and 33 may be deemed similar/related to “</w:t>
      </w:r>
      <w:r w:rsidRPr="0026031A">
        <w:rPr>
          <w:rFonts w:ascii="Arial" w:hAnsi="Arial" w:cs="Arial"/>
          <w:i/>
          <w:iCs/>
          <w:sz w:val="20"/>
          <w:szCs w:val="20"/>
        </w:rPr>
        <w:t>food and drink catering services</w:t>
      </w:r>
      <w:r w:rsidRPr="00EA0168">
        <w:rPr>
          <w:rFonts w:ascii="Arial" w:hAnsi="Arial" w:cs="Arial"/>
          <w:iCs/>
          <w:sz w:val="20"/>
          <w:szCs w:val="20"/>
        </w:rPr>
        <w:t>” in Class 43. As a result, marketing practices are also considered by the examiner to assess whether the public will be confused as to the commercial source of the goods/services.</w:t>
      </w:r>
    </w:p>
    <w:p w14:paraId="2CEB6035" w14:textId="77777777" w:rsidR="00EA0168" w:rsidRPr="00EA0168" w:rsidRDefault="00EA0168" w:rsidP="00EA0168">
      <w:pPr>
        <w:spacing w:after="0" w:line="240" w:lineRule="auto"/>
        <w:jc w:val="both"/>
        <w:rPr>
          <w:rFonts w:ascii="Arial" w:hAnsi="Arial" w:cs="Arial"/>
          <w:iCs/>
          <w:sz w:val="20"/>
          <w:szCs w:val="20"/>
        </w:rPr>
      </w:pPr>
    </w:p>
    <w:p w14:paraId="5CD6930A" w14:textId="77777777"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t>Conversely, if consumers do not encounter the products or services in the marketplace, then even if the marks are identical/confusingly similar, no likelihood of confusion exists. Similar/ identical signs can still be registered, provided that the goods and/or services applied for are unrelated to the ones covered by earlier similar/ identical trademarks. E.g. An applied-for mark “XYZ” for “</w:t>
      </w:r>
      <w:r w:rsidRPr="0026031A">
        <w:rPr>
          <w:rFonts w:ascii="Arial" w:hAnsi="Arial" w:cs="Arial"/>
          <w:i/>
          <w:iCs/>
          <w:sz w:val="20"/>
          <w:szCs w:val="20"/>
        </w:rPr>
        <w:t>Pharmaceutical preparations</w:t>
      </w:r>
      <w:r w:rsidRPr="00EA0168">
        <w:rPr>
          <w:rFonts w:ascii="Arial" w:hAnsi="Arial" w:cs="Arial"/>
          <w:iCs/>
          <w:sz w:val="20"/>
          <w:szCs w:val="20"/>
        </w:rPr>
        <w:t>” may be held unlikely to cause confusion with a prior mark “ZYZ” for “</w:t>
      </w:r>
      <w:r w:rsidRPr="0026031A">
        <w:rPr>
          <w:rFonts w:ascii="Arial" w:hAnsi="Arial" w:cs="Arial"/>
          <w:i/>
          <w:iCs/>
          <w:sz w:val="20"/>
          <w:szCs w:val="20"/>
        </w:rPr>
        <w:t>Plant Protection Preparations</w:t>
      </w:r>
      <w:r w:rsidRPr="00EA0168">
        <w:rPr>
          <w:rFonts w:ascii="Arial" w:hAnsi="Arial" w:cs="Arial"/>
          <w:iCs/>
          <w:sz w:val="20"/>
          <w:szCs w:val="20"/>
        </w:rPr>
        <w:t>” although they fall in the same Class 05.</w:t>
      </w:r>
    </w:p>
    <w:p w14:paraId="2ED3D2E8" w14:textId="77777777" w:rsidR="00EA0168" w:rsidRPr="00EA0168" w:rsidRDefault="00EA0168" w:rsidP="00EA0168">
      <w:pPr>
        <w:spacing w:after="0" w:line="240" w:lineRule="auto"/>
        <w:jc w:val="both"/>
        <w:rPr>
          <w:rFonts w:ascii="Arial" w:hAnsi="Arial" w:cs="Arial"/>
          <w:iCs/>
          <w:sz w:val="20"/>
          <w:szCs w:val="20"/>
        </w:rPr>
      </w:pPr>
    </w:p>
    <w:p w14:paraId="0F4ED3D1" w14:textId="7150470F" w:rsidR="00EA0168" w:rsidRPr="00EA0168" w:rsidRDefault="00EA0168" w:rsidP="00EA0168">
      <w:pPr>
        <w:spacing w:after="0" w:line="240" w:lineRule="auto"/>
        <w:jc w:val="both"/>
        <w:rPr>
          <w:rFonts w:ascii="Arial" w:hAnsi="Arial" w:cs="Arial"/>
          <w:iCs/>
          <w:sz w:val="20"/>
          <w:szCs w:val="20"/>
        </w:rPr>
      </w:pPr>
      <w:r w:rsidRPr="00EA0168">
        <w:rPr>
          <w:rFonts w:ascii="Arial" w:hAnsi="Arial" w:cs="Arial"/>
          <w:iCs/>
          <w:sz w:val="20"/>
          <w:szCs w:val="20"/>
        </w:rPr>
        <w:lastRenderedPageBreak/>
        <w:t>In light of the foregoing, NICE Classification is not the only basis for the examiner in Vietnam to assess similarity/relatedness of the goods/services bearing the marks.</w:t>
      </w:r>
    </w:p>
    <w:p w14:paraId="5E20C1FB" w14:textId="77777777" w:rsidR="00EA0168" w:rsidRPr="00EA0168" w:rsidRDefault="00EA0168" w:rsidP="00EA0168">
      <w:pPr>
        <w:spacing w:after="0" w:line="240" w:lineRule="auto"/>
        <w:jc w:val="both"/>
        <w:rPr>
          <w:rFonts w:ascii="Arial" w:hAnsi="Arial" w:cs="Arial"/>
          <w:iCs/>
          <w:sz w:val="20"/>
          <w:szCs w:val="20"/>
        </w:rPr>
      </w:pPr>
    </w:p>
    <w:p w14:paraId="29BE97D8" w14:textId="2FC2EE1B" w:rsidR="00EA0168" w:rsidRPr="00EA0168" w:rsidRDefault="00B94A22" w:rsidP="00EA016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71552" behindDoc="0" locked="0" layoutInCell="1" allowOverlap="1" wp14:anchorId="43140748" wp14:editId="69718DF9">
                <wp:simplePos x="0" y="0"/>
                <wp:positionH relativeFrom="column">
                  <wp:posOffset>6408420</wp:posOffset>
                </wp:positionH>
                <wp:positionV relativeFrom="paragraph">
                  <wp:posOffset>-335915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75F30" w14:textId="77777777" w:rsidR="00705598" w:rsidRPr="00BA68B8" w:rsidRDefault="00705598" w:rsidP="00705598">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40748" id="Rectangle 4" o:spid="_x0000_s1030" style="position:absolute;left:0;text-align:left;margin-left:504.6pt;margin-top:-26.4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" fillcolor="#00b39c" strokecolor="#00b39c" strokeweight="0">
                <v:textbox style="layout-flow:vertical">
                  <w:txbxContent>
                    <w:p w14:paraId="32B75F30" w14:textId="77777777" w:rsidR="00705598" w:rsidRPr="00BA68B8" w:rsidRDefault="00705598" w:rsidP="00705598">
                      <w:pPr>
                        <w:spacing w:after="0" w:line="240" w:lineRule="auto"/>
                        <w:rPr>
                          <w:rFonts w:ascii="Arial" w:hAnsi="Arial" w:cs="Arial"/>
                          <w:b/>
                          <w:color w:val="FFFFFF" w:themeColor="background1"/>
                          <w:sz w:val="20"/>
                          <w:szCs w:val="20"/>
                        </w:rPr>
                      </w:pPr>
                      <w:r w:rsidRPr="00A14A11">
                        <w:rPr>
                          <w:rFonts w:ascii="Arial" w:hAnsi="Arial" w:cs="Arial"/>
                          <w:b/>
                          <w:bCs/>
                          <w:color w:val="FFFFFF" w:themeColor="background1"/>
                          <w:sz w:val="20"/>
                          <w:szCs w:val="20"/>
                        </w:rPr>
                        <w:t xml:space="preserve">Goods/Service Relatedness Significant  </w:t>
                      </w:r>
                    </w:p>
                  </w:txbxContent>
                </v:textbox>
              </v:rect>
            </w:pict>
          </mc:Fallback>
        </mc:AlternateContent>
      </w:r>
      <w:r w:rsidR="00EA0168" w:rsidRPr="00EA0168">
        <w:rPr>
          <w:rFonts w:ascii="Arial" w:hAnsi="Arial" w:cs="Arial"/>
          <w:iCs/>
          <w:sz w:val="20"/>
          <w:szCs w:val="20"/>
        </w:rPr>
        <w:t xml:space="preserve">As the above case </w:t>
      </w:r>
      <w:proofErr w:type="spellStart"/>
      <w:r w:rsidR="00EA0168" w:rsidRPr="00EA0168">
        <w:rPr>
          <w:rFonts w:ascii="Arial" w:hAnsi="Arial" w:cs="Arial"/>
          <w:iCs/>
          <w:sz w:val="20"/>
          <w:szCs w:val="20"/>
        </w:rPr>
        <w:t>examplifies</w:t>
      </w:r>
      <w:proofErr w:type="spellEnd"/>
      <w:r w:rsidR="00EA0168" w:rsidRPr="00EA0168">
        <w:rPr>
          <w:rFonts w:ascii="Arial" w:hAnsi="Arial" w:cs="Arial"/>
          <w:iCs/>
          <w:sz w:val="20"/>
          <w:szCs w:val="20"/>
        </w:rPr>
        <w:t xml:space="preserve">, how the goods and/or services bearing this trademark are deemed related/relevant to those under an earlier mark is very important to determine registrability of similar </w:t>
      </w:r>
      <w:hyperlink r:id="rId19" w:history="1">
        <w:r w:rsidR="00EA0168" w:rsidRPr="001F4343">
          <w:rPr>
            <w:rStyle w:val="Hyperlink"/>
            <w:rFonts w:ascii="Arial" w:hAnsi="Arial" w:cs="Arial"/>
            <w:iCs/>
            <w:sz w:val="20"/>
            <w:szCs w:val="20"/>
          </w:rPr>
          <w:t>trademarks in Vietnam</w:t>
        </w:r>
      </w:hyperlink>
      <w:r w:rsidR="00EA0168" w:rsidRPr="00EA0168">
        <w:rPr>
          <w:rFonts w:ascii="Arial" w:hAnsi="Arial" w:cs="Arial"/>
          <w:iCs/>
          <w:sz w:val="20"/>
          <w:szCs w:val="20"/>
        </w:rPr>
        <w:t>. Whether Nice Classification is the only basis for making an assessment on relatedness/relevance of the goods/services bearing trademarks? Of course, it is not.</w:t>
      </w:r>
    </w:p>
    <w:p w14:paraId="0FD41542" w14:textId="77777777" w:rsidR="00EA0168" w:rsidRPr="00EA0168" w:rsidRDefault="00EA0168" w:rsidP="00EA0168">
      <w:pPr>
        <w:spacing w:after="0" w:line="240" w:lineRule="auto"/>
        <w:jc w:val="both"/>
        <w:rPr>
          <w:rFonts w:ascii="Arial" w:hAnsi="Arial" w:cs="Arial"/>
          <w:iCs/>
          <w:sz w:val="20"/>
          <w:szCs w:val="20"/>
        </w:rPr>
      </w:pPr>
    </w:p>
    <w:p w14:paraId="56404C02" w14:textId="77777777" w:rsidR="00EA0168" w:rsidRPr="0026031A" w:rsidRDefault="00EA0168" w:rsidP="00EA0168">
      <w:pPr>
        <w:spacing w:after="0" w:line="240" w:lineRule="auto"/>
        <w:jc w:val="both"/>
        <w:rPr>
          <w:rFonts w:ascii="Arial" w:eastAsia="Calibri" w:hAnsi="Arial" w:cs="Arial"/>
          <w:b/>
          <w:bCs/>
          <w:color w:val="0000FF"/>
          <w:sz w:val="20"/>
          <w:szCs w:val="20"/>
        </w:rPr>
      </w:pPr>
      <w:r w:rsidRPr="0026031A">
        <w:rPr>
          <w:rFonts w:ascii="Arial" w:eastAsia="Calibri" w:hAnsi="Arial" w:cs="Arial"/>
          <w:b/>
          <w:bCs/>
          <w:color w:val="0000FF"/>
          <w:sz w:val="20"/>
          <w:szCs w:val="20"/>
        </w:rPr>
        <w:t>Final thoughts</w:t>
      </w:r>
    </w:p>
    <w:p w14:paraId="7BB0CA0E" w14:textId="77777777" w:rsidR="00EA0168" w:rsidRPr="00EA0168" w:rsidRDefault="00EA0168" w:rsidP="00EA0168">
      <w:pPr>
        <w:spacing w:after="0" w:line="240" w:lineRule="auto"/>
        <w:jc w:val="both"/>
        <w:rPr>
          <w:rFonts w:ascii="Arial" w:hAnsi="Arial" w:cs="Arial"/>
          <w:iCs/>
          <w:sz w:val="20"/>
          <w:szCs w:val="20"/>
        </w:rPr>
      </w:pPr>
    </w:p>
    <w:p w14:paraId="2789F60E" w14:textId="77777777" w:rsidR="0026031A" w:rsidRDefault="0026031A" w:rsidP="0026031A">
      <w:pPr>
        <w:jc w:val="both"/>
        <w:rPr>
          <w:rFonts w:ascii="Arial" w:eastAsia="Times New Roman" w:hAnsi="Arial" w:cs="Arial"/>
          <w:color w:val="000000"/>
          <w:sz w:val="20"/>
          <w:szCs w:val="20"/>
          <w:bdr w:val="none" w:sz="0" w:space="0" w:color="auto" w:frame="1"/>
        </w:rPr>
      </w:pPr>
      <w:r w:rsidRPr="00956963">
        <w:rPr>
          <w:rFonts w:ascii="Arial" w:eastAsia="Times New Roman" w:hAnsi="Arial" w:cs="Arial"/>
          <w:color w:val="000000"/>
          <w:sz w:val="20"/>
          <w:szCs w:val="20"/>
          <w:bdr w:val="none" w:sz="0" w:space="0" w:color="auto" w:frame="1"/>
        </w:rPr>
        <w:t>IP VIETNAM has issued a provisional refusal for the applied-for mark, citing similarities between the figurative elements of both the applied-for mark and a prior mark (referred to as "</w:t>
      </w:r>
      <w:r w:rsidRPr="00EC0C6A">
        <w:rPr>
          <w:rFonts w:ascii="Arial" w:eastAsia="Times New Roman" w:hAnsi="Arial" w:cs="Arial"/>
          <w:color w:val="000000"/>
          <w:sz w:val="20"/>
          <w:szCs w:val="20"/>
          <w:bdr w:val="none" w:sz="0" w:space="0" w:color="auto" w:frame="1"/>
        </w:rPr>
        <w:fldChar w:fldCharType="begin"/>
      </w:r>
      <w:r w:rsidRPr="00EC0C6A">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Pr="00EC0C6A">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Pr>
          <w:rFonts w:ascii="Arial" w:eastAsia="Times New Roman" w:hAnsi="Arial" w:cs="Arial"/>
          <w:color w:val="000000"/>
          <w:sz w:val="20"/>
          <w:szCs w:val="20"/>
          <w:bdr w:val="none" w:sz="0" w:space="0" w:color="auto" w:frame="1"/>
        </w:rPr>
        <w:fldChar w:fldCharType="separate"/>
      </w:r>
      <w:r w:rsidR="00CD3D72">
        <w:rPr>
          <w:rFonts w:ascii="Arial" w:eastAsia="Times New Roman" w:hAnsi="Arial" w:cs="Arial"/>
          <w:color w:val="000000"/>
          <w:sz w:val="20"/>
          <w:szCs w:val="20"/>
          <w:bdr w:val="none" w:sz="0" w:space="0" w:color="auto" w:frame="1"/>
        </w:rPr>
        <w:fldChar w:fldCharType="begin"/>
      </w:r>
      <w:r w:rsidR="00CD3D72">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CD3D72">
        <w:rPr>
          <w:rFonts w:ascii="Arial" w:eastAsia="Times New Roman" w:hAnsi="Arial" w:cs="Arial"/>
          <w:color w:val="000000"/>
          <w:sz w:val="20"/>
          <w:szCs w:val="20"/>
          <w:bdr w:val="none" w:sz="0" w:space="0" w:color="auto" w:frame="1"/>
        </w:rPr>
        <w:fldChar w:fldCharType="separate"/>
      </w:r>
      <w:r w:rsidR="00E93C75">
        <w:rPr>
          <w:rFonts w:ascii="Arial" w:eastAsia="Times New Roman" w:hAnsi="Arial" w:cs="Arial"/>
          <w:color w:val="000000"/>
          <w:sz w:val="20"/>
          <w:szCs w:val="20"/>
          <w:bdr w:val="none" w:sz="0" w:space="0" w:color="auto" w:frame="1"/>
        </w:rPr>
        <w:fldChar w:fldCharType="begin"/>
      </w:r>
      <w:r w:rsidR="00E93C75">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E93C75">
        <w:rPr>
          <w:rFonts w:ascii="Arial" w:eastAsia="Times New Roman" w:hAnsi="Arial" w:cs="Arial"/>
          <w:color w:val="000000"/>
          <w:sz w:val="20"/>
          <w:szCs w:val="20"/>
          <w:bdr w:val="none" w:sz="0" w:space="0" w:color="auto" w:frame="1"/>
        </w:rPr>
        <w:fldChar w:fldCharType="separate"/>
      </w:r>
      <w:r w:rsidR="003C1568">
        <w:rPr>
          <w:rFonts w:ascii="Arial" w:eastAsia="Times New Roman" w:hAnsi="Arial" w:cs="Arial"/>
          <w:color w:val="000000"/>
          <w:sz w:val="20"/>
          <w:szCs w:val="20"/>
          <w:bdr w:val="none" w:sz="0" w:space="0" w:color="auto" w:frame="1"/>
        </w:rPr>
        <w:fldChar w:fldCharType="begin"/>
      </w:r>
      <w:r w:rsidR="003C1568">
        <w:rPr>
          <w:rFonts w:ascii="Arial" w:eastAsia="Times New Roman" w:hAnsi="Arial" w:cs="Arial"/>
          <w:color w:val="000000"/>
          <w:sz w:val="20"/>
          <w:szCs w:val="20"/>
          <w:bdr w:val="none" w:sz="0" w:space="0" w:color="auto" w:frame="1"/>
        </w:rPr>
        <w:instrText xml:space="preserve"> INCLUDEPICTURE  "http://www.wipo.int/romarin/images/12/25/1225463.jpg" \* MERGEFORMATINET </w:instrText>
      </w:r>
      <w:r w:rsidR="003C1568">
        <w:rPr>
          <w:rFonts w:ascii="Arial" w:eastAsia="Times New Roman" w:hAnsi="Arial" w:cs="Arial"/>
          <w:color w:val="000000"/>
          <w:sz w:val="20"/>
          <w:szCs w:val="20"/>
          <w:bdr w:val="none" w:sz="0" w:space="0" w:color="auto" w:frame="1"/>
        </w:rPr>
        <w:fldChar w:fldCharType="separate"/>
      </w:r>
      <w:r w:rsidR="00544425">
        <w:rPr>
          <w:rFonts w:ascii="Arial" w:eastAsia="Times New Roman" w:hAnsi="Arial" w:cs="Arial"/>
          <w:color w:val="000000"/>
          <w:sz w:val="20"/>
          <w:szCs w:val="20"/>
          <w:bdr w:val="none" w:sz="0" w:space="0" w:color="auto" w:frame="1"/>
        </w:rPr>
        <w:fldChar w:fldCharType="begin"/>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instrText>INCLUDEPICTURE  "http://www.wipo.int/romarin/images/12/25/1225463.jpg" \* MERGEFORMATINET</w:instrText>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fldChar w:fldCharType="separate"/>
      </w:r>
      <w:r w:rsidR="0020199A">
        <w:rPr>
          <w:rFonts w:ascii="Arial" w:eastAsia="Times New Roman" w:hAnsi="Arial" w:cs="Arial"/>
          <w:color w:val="000000"/>
          <w:sz w:val="20"/>
          <w:szCs w:val="20"/>
          <w:bdr w:val="none" w:sz="0" w:space="0" w:color="auto" w:frame="1"/>
        </w:rPr>
        <w:pict w14:anchorId="1AC4FE53">
          <v:shape id="_x0000_i1029" type="#_x0000_t75" alt="Thomas Cook" style="width:37.5pt;height:33pt">
            <v:imagedata r:id="rId7" r:href="rId20" cropright="51773f"/>
          </v:shape>
        </w:pict>
      </w:r>
      <w:r w:rsidR="00544425">
        <w:rPr>
          <w:rFonts w:ascii="Arial" w:eastAsia="Times New Roman" w:hAnsi="Arial" w:cs="Arial"/>
          <w:color w:val="000000"/>
          <w:sz w:val="20"/>
          <w:szCs w:val="20"/>
          <w:bdr w:val="none" w:sz="0" w:space="0" w:color="auto" w:frame="1"/>
        </w:rPr>
        <w:fldChar w:fldCharType="end"/>
      </w:r>
      <w:r w:rsidR="003C1568">
        <w:rPr>
          <w:rFonts w:ascii="Arial" w:eastAsia="Times New Roman" w:hAnsi="Arial" w:cs="Arial"/>
          <w:color w:val="000000"/>
          <w:sz w:val="20"/>
          <w:szCs w:val="20"/>
          <w:bdr w:val="none" w:sz="0" w:space="0" w:color="auto" w:frame="1"/>
        </w:rPr>
        <w:fldChar w:fldCharType="end"/>
      </w:r>
      <w:r w:rsidR="00E93C75">
        <w:rPr>
          <w:rFonts w:ascii="Arial" w:eastAsia="Times New Roman" w:hAnsi="Arial" w:cs="Arial"/>
          <w:color w:val="000000"/>
          <w:sz w:val="20"/>
          <w:szCs w:val="20"/>
          <w:bdr w:val="none" w:sz="0" w:space="0" w:color="auto" w:frame="1"/>
        </w:rPr>
        <w:fldChar w:fldCharType="end"/>
      </w:r>
      <w:r w:rsidR="00CD3D72">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fldChar w:fldCharType="end"/>
      </w:r>
      <w:r w:rsidRPr="00956963">
        <w:rPr>
          <w:rFonts w:ascii="Arial" w:eastAsia="Times New Roman" w:hAnsi="Arial" w:cs="Arial"/>
          <w:color w:val="000000"/>
          <w:sz w:val="20"/>
          <w:szCs w:val="20"/>
          <w:bdr w:val="none" w:sz="0" w:space="0" w:color="auto" w:frame="1"/>
        </w:rPr>
        <w:t>" and "</w:t>
      </w:r>
      <w:r w:rsidRPr="00EC0C6A">
        <w:rPr>
          <w:rFonts w:ascii="Arial" w:eastAsia="Times New Roman" w:hAnsi="Arial" w:cs="Arial"/>
          <w:color w:val="000000"/>
          <w:sz w:val="20"/>
          <w:szCs w:val="20"/>
          <w:bdr w:val="none" w:sz="0" w:space="0" w:color="auto" w:frame="1"/>
        </w:rPr>
        <w:fldChar w:fldCharType="begin"/>
      </w:r>
      <w:r w:rsidRPr="00EC0C6A">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Pr="00EC0C6A">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Pr>
          <w:rFonts w:ascii="Arial" w:eastAsia="Times New Roman" w:hAnsi="Arial" w:cs="Arial"/>
          <w:color w:val="000000"/>
          <w:sz w:val="20"/>
          <w:szCs w:val="20"/>
          <w:bdr w:val="none" w:sz="0" w:space="0" w:color="auto" w:frame="1"/>
        </w:rPr>
        <w:fldChar w:fldCharType="separate"/>
      </w:r>
      <w:r>
        <w:rPr>
          <w:rFonts w:ascii="Arial" w:eastAsia="Times New Roman" w:hAnsi="Arial" w:cs="Arial"/>
          <w:color w:val="000000"/>
          <w:sz w:val="20"/>
          <w:szCs w:val="20"/>
          <w:bdr w:val="none" w:sz="0" w:space="0" w:color="auto" w:frame="1"/>
        </w:rPr>
        <w:fldChar w:fldCharType="begin"/>
      </w:r>
      <w:r>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Pr>
          <w:rFonts w:ascii="Arial" w:eastAsia="Times New Roman" w:hAnsi="Arial" w:cs="Arial"/>
          <w:color w:val="000000"/>
          <w:sz w:val="20"/>
          <w:szCs w:val="20"/>
          <w:bdr w:val="none" w:sz="0" w:space="0" w:color="auto" w:frame="1"/>
        </w:rPr>
        <w:fldChar w:fldCharType="separate"/>
      </w:r>
      <w:r w:rsidR="00CD3D72">
        <w:rPr>
          <w:rFonts w:ascii="Arial" w:eastAsia="Times New Roman" w:hAnsi="Arial" w:cs="Arial"/>
          <w:color w:val="000000"/>
          <w:sz w:val="20"/>
          <w:szCs w:val="20"/>
          <w:bdr w:val="none" w:sz="0" w:space="0" w:color="auto" w:frame="1"/>
        </w:rPr>
        <w:fldChar w:fldCharType="begin"/>
      </w:r>
      <w:r w:rsidR="00CD3D72">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CD3D72">
        <w:rPr>
          <w:rFonts w:ascii="Arial" w:eastAsia="Times New Roman" w:hAnsi="Arial" w:cs="Arial"/>
          <w:color w:val="000000"/>
          <w:sz w:val="20"/>
          <w:szCs w:val="20"/>
          <w:bdr w:val="none" w:sz="0" w:space="0" w:color="auto" w:frame="1"/>
        </w:rPr>
        <w:fldChar w:fldCharType="separate"/>
      </w:r>
      <w:r w:rsidR="00E93C75">
        <w:rPr>
          <w:rFonts w:ascii="Arial" w:eastAsia="Times New Roman" w:hAnsi="Arial" w:cs="Arial"/>
          <w:color w:val="000000"/>
          <w:sz w:val="20"/>
          <w:szCs w:val="20"/>
          <w:bdr w:val="none" w:sz="0" w:space="0" w:color="auto" w:frame="1"/>
        </w:rPr>
        <w:fldChar w:fldCharType="begin"/>
      </w:r>
      <w:r w:rsidR="00E93C75">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E93C75">
        <w:rPr>
          <w:rFonts w:ascii="Arial" w:eastAsia="Times New Roman" w:hAnsi="Arial" w:cs="Arial"/>
          <w:color w:val="000000"/>
          <w:sz w:val="20"/>
          <w:szCs w:val="20"/>
          <w:bdr w:val="none" w:sz="0" w:space="0" w:color="auto" w:frame="1"/>
        </w:rPr>
        <w:fldChar w:fldCharType="separate"/>
      </w:r>
      <w:r w:rsidR="003C1568">
        <w:rPr>
          <w:rFonts w:ascii="Arial" w:eastAsia="Times New Roman" w:hAnsi="Arial" w:cs="Arial"/>
          <w:color w:val="000000"/>
          <w:sz w:val="20"/>
          <w:szCs w:val="20"/>
          <w:bdr w:val="none" w:sz="0" w:space="0" w:color="auto" w:frame="1"/>
        </w:rPr>
        <w:fldChar w:fldCharType="begin"/>
      </w:r>
      <w:r w:rsidR="003C1568">
        <w:rPr>
          <w:rFonts w:ascii="Arial" w:eastAsia="Times New Roman" w:hAnsi="Arial" w:cs="Arial"/>
          <w:color w:val="000000"/>
          <w:sz w:val="20"/>
          <w:szCs w:val="20"/>
          <w:bdr w:val="none" w:sz="0" w:space="0" w:color="auto" w:frame="1"/>
        </w:rPr>
        <w:instrText xml:space="preserve"> INCLUDEPICTURE  "http://www.wipo.int/romarin/images/11/71/1171753.jpg" \* MERGEFORMATINET </w:instrText>
      </w:r>
      <w:r w:rsidR="003C1568">
        <w:rPr>
          <w:rFonts w:ascii="Arial" w:eastAsia="Times New Roman" w:hAnsi="Arial" w:cs="Arial"/>
          <w:color w:val="000000"/>
          <w:sz w:val="20"/>
          <w:szCs w:val="20"/>
          <w:bdr w:val="none" w:sz="0" w:space="0" w:color="auto" w:frame="1"/>
        </w:rPr>
        <w:fldChar w:fldCharType="separate"/>
      </w:r>
      <w:r w:rsidR="00544425">
        <w:rPr>
          <w:rFonts w:ascii="Arial" w:eastAsia="Times New Roman" w:hAnsi="Arial" w:cs="Arial"/>
          <w:color w:val="000000"/>
          <w:sz w:val="20"/>
          <w:szCs w:val="20"/>
          <w:bdr w:val="none" w:sz="0" w:space="0" w:color="auto" w:frame="1"/>
        </w:rPr>
        <w:fldChar w:fldCharType="begin"/>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instrText>INCLUDEPICTURE  "http://www.wipo.int/romarin/images/11/71/1171753.jpg" \* MERGEFORMATINET</w:instrText>
      </w:r>
      <w:r w:rsidR="00544425">
        <w:rPr>
          <w:rFonts w:ascii="Arial" w:eastAsia="Times New Roman" w:hAnsi="Arial" w:cs="Arial"/>
          <w:color w:val="000000"/>
          <w:sz w:val="20"/>
          <w:szCs w:val="20"/>
          <w:bdr w:val="none" w:sz="0" w:space="0" w:color="auto" w:frame="1"/>
        </w:rPr>
        <w:instrText xml:space="preserve"> </w:instrText>
      </w:r>
      <w:r w:rsidR="00544425">
        <w:rPr>
          <w:rFonts w:ascii="Arial" w:eastAsia="Times New Roman" w:hAnsi="Arial" w:cs="Arial"/>
          <w:color w:val="000000"/>
          <w:sz w:val="20"/>
          <w:szCs w:val="20"/>
          <w:bdr w:val="none" w:sz="0" w:space="0" w:color="auto" w:frame="1"/>
        </w:rPr>
        <w:fldChar w:fldCharType="separate"/>
      </w:r>
      <w:r w:rsidR="0020199A">
        <w:rPr>
          <w:rFonts w:ascii="Arial" w:eastAsia="Times New Roman" w:hAnsi="Arial" w:cs="Arial"/>
          <w:color w:val="000000"/>
          <w:sz w:val="20"/>
          <w:szCs w:val="20"/>
          <w:bdr w:val="none" w:sz="0" w:space="0" w:color="auto" w:frame="1"/>
        </w:rPr>
        <w:pict w14:anchorId="125D7CD0">
          <v:shape id="_x0000_i1030" type="#_x0000_t75" alt="interest.me" style="width:36.75pt;height:29.25pt">
            <v:imagedata r:id="rId9" r:href="rId21" cropbottom="21533f" cropleft="13375f" cropright="12706f"/>
          </v:shape>
        </w:pict>
      </w:r>
      <w:r w:rsidR="00544425">
        <w:rPr>
          <w:rFonts w:ascii="Arial" w:eastAsia="Times New Roman" w:hAnsi="Arial" w:cs="Arial"/>
          <w:color w:val="000000"/>
          <w:sz w:val="20"/>
          <w:szCs w:val="20"/>
          <w:bdr w:val="none" w:sz="0" w:space="0" w:color="auto" w:frame="1"/>
        </w:rPr>
        <w:fldChar w:fldCharType="end"/>
      </w:r>
      <w:r w:rsidR="003C1568">
        <w:rPr>
          <w:rFonts w:ascii="Arial" w:eastAsia="Times New Roman" w:hAnsi="Arial" w:cs="Arial"/>
          <w:color w:val="000000"/>
          <w:sz w:val="20"/>
          <w:szCs w:val="20"/>
          <w:bdr w:val="none" w:sz="0" w:space="0" w:color="auto" w:frame="1"/>
        </w:rPr>
        <w:fldChar w:fldCharType="end"/>
      </w:r>
      <w:r w:rsidR="00E93C75">
        <w:rPr>
          <w:rFonts w:ascii="Arial" w:eastAsia="Times New Roman" w:hAnsi="Arial" w:cs="Arial"/>
          <w:color w:val="000000"/>
          <w:sz w:val="20"/>
          <w:szCs w:val="20"/>
          <w:bdr w:val="none" w:sz="0" w:space="0" w:color="auto" w:frame="1"/>
        </w:rPr>
        <w:fldChar w:fldCharType="end"/>
      </w:r>
      <w:r w:rsidR="00CD3D72">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Pr>
          <w:rFonts w:ascii="Arial" w:eastAsia="Times New Roman" w:hAnsi="Arial" w:cs="Arial"/>
          <w:color w:val="000000"/>
          <w:sz w:val="20"/>
          <w:szCs w:val="20"/>
          <w:bdr w:val="none" w:sz="0" w:space="0" w:color="auto" w:frame="1"/>
        </w:rPr>
        <w:fldChar w:fldCharType="end"/>
      </w:r>
      <w:r w:rsidRPr="00EC0C6A">
        <w:rPr>
          <w:rFonts w:ascii="Arial" w:eastAsia="Times New Roman" w:hAnsi="Arial" w:cs="Arial"/>
          <w:color w:val="000000"/>
          <w:sz w:val="20"/>
          <w:szCs w:val="20"/>
          <w:bdr w:val="none" w:sz="0" w:space="0" w:color="auto" w:frame="1"/>
        </w:rPr>
        <w:fldChar w:fldCharType="end"/>
      </w:r>
      <w:r w:rsidRPr="00956963">
        <w:rPr>
          <w:rFonts w:ascii="Arial" w:eastAsia="Times New Roman" w:hAnsi="Arial" w:cs="Arial"/>
          <w:color w:val="000000"/>
          <w:sz w:val="20"/>
          <w:szCs w:val="20"/>
          <w:bdr w:val="none" w:sz="0" w:space="0" w:color="auto" w:frame="1"/>
        </w:rPr>
        <w:t xml:space="preserve">") as well as similarities in the goods/services listed in Classes 09 and 35. IP VIETNAM believes that this similarity could cause confusion among consumers regarding the commercial origin of the goods/services in question. </w:t>
      </w:r>
      <w:r>
        <w:rPr>
          <w:rFonts w:ascii="Arial" w:eastAsia="Times New Roman" w:hAnsi="Arial" w:cs="Arial"/>
          <w:color w:val="000000"/>
          <w:sz w:val="20"/>
          <w:szCs w:val="20"/>
          <w:bdr w:val="none" w:sz="0" w:space="0" w:color="auto" w:frame="1"/>
        </w:rPr>
        <w:t xml:space="preserve">While the two marks share a similar element, what important is obviously to focus analysis on </w:t>
      </w:r>
      <w:proofErr w:type="spellStart"/>
      <w:r>
        <w:rPr>
          <w:rFonts w:ascii="Arial" w:eastAsia="Times New Roman" w:hAnsi="Arial" w:cs="Arial"/>
          <w:color w:val="000000"/>
          <w:sz w:val="20"/>
          <w:szCs w:val="20"/>
          <w:bdr w:val="none" w:sz="0" w:space="0" w:color="auto" w:frame="1"/>
        </w:rPr>
        <w:t>unrelatedness</w:t>
      </w:r>
      <w:proofErr w:type="spellEnd"/>
      <w:r>
        <w:rPr>
          <w:rFonts w:ascii="Arial" w:eastAsia="Times New Roman" w:hAnsi="Arial" w:cs="Arial"/>
          <w:color w:val="000000"/>
          <w:sz w:val="20"/>
          <w:szCs w:val="20"/>
          <w:bdr w:val="none" w:sz="0" w:space="0" w:color="auto" w:frame="1"/>
        </w:rPr>
        <w:t xml:space="preserve"> of the goods and services bearing those mark in order to prove that one condition for establishing a finding of confusion between the two marks is not satisfied. To this end, it is required to delve into the nature</w:t>
      </w:r>
      <w:r w:rsidRPr="009018C4">
        <w:rPr>
          <w:rFonts w:ascii="Arial" w:eastAsia="Times New Roman" w:hAnsi="Arial" w:cs="Arial"/>
          <w:color w:val="000000"/>
          <w:sz w:val="20"/>
          <w:szCs w:val="20"/>
          <w:bdr w:val="none" w:sz="0" w:space="0" w:color="auto" w:frame="1"/>
        </w:rPr>
        <w:t xml:space="preserve"> (composition, ingredients) and the function and utility</w:t>
      </w:r>
      <w:r w:rsidRPr="001E2BA5">
        <w:rPr>
          <w:rFonts w:ascii="Arial" w:eastAsia="Times New Roman" w:hAnsi="Arial" w:cs="Arial"/>
          <w:color w:val="000000"/>
          <w:sz w:val="20"/>
          <w:szCs w:val="20"/>
          <w:bdr w:val="none" w:sz="0" w:space="0" w:color="auto" w:frame="1"/>
        </w:rPr>
        <w:t xml:space="preserve"> of the goods/services bearing those marks. Only when this distinction </w:t>
      </w:r>
      <w:r>
        <w:rPr>
          <w:rFonts w:ascii="Arial" w:eastAsia="Times New Roman" w:hAnsi="Arial" w:cs="Arial"/>
          <w:color w:val="000000"/>
          <w:sz w:val="20"/>
          <w:szCs w:val="20"/>
          <w:bdr w:val="none" w:sz="0" w:space="0" w:color="auto" w:frame="1"/>
        </w:rPr>
        <w:t>is</w:t>
      </w:r>
      <w:r w:rsidRPr="001E2BA5">
        <w:rPr>
          <w:rFonts w:ascii="Arial" w:eastAsia="Times New Roman" w:hAnsi="Arial" w:cs="Arial"/>
          <w:color w:val="000000"/>
          <w:sz w:val="20"/>
          <w:szCs w:val="20"/>
          <w:bdr w:val="none" w:sz="0" w:space="0" w:color="auto" w:frame="1"/>
        </w:rPr>
        <w:t xml:space="preserve"> deeply analyzed, </w:t>
      </w:r>
      <w:r>
        <w:rPr>
          <w:rFonts w:ascii="Arial" w:eastAsia="Times New Roman" w:hAnsi="Arial" w:cs="Arial"/>
          <w:color w:val="000000"/>
          <w:sz w:val="20"/>
          <w:szCs w:val="20"/>
          <w:bdr w:val="none" w:sz="0" w:space="0" w:color="auto" w:frame="1"/>
        </w:rPr>
        <w:t xml:space="preserve">can </w:t>
      </w:r>
      <w:r w:rsidRPr="001E2BA5">
        <w:rPr>
          <w:rFonts w:ascii="Arial" w:eastAsia="Times New Roman" w:hAnsi="Arial" w:cs="Arial"/>
          <w:color w:val="000000"/>
          <w:sz w:val="20"/>
          <w:szCs w:val="20"/>
          <w:bdr w:val="none" w:sz="0" w:space="0" w:color="auto" w:frame="1"/>
        </w:rPr>
        <w:t xml:space="preserve">IP VIETNAM’s examiner find </w:t>
      </w:r>
      <w:r>
        <w:rPr>
          <w:rFonts w:ascii="Arial" w:eastAsia="Times New Roman" w:hAnsi="Arial" w:cs="Arial"/>
          <w:color w:val="000000"/>
          <w:sz w:val="20"/>
          <w:szCs w:val="20"/>
          <w:bdr w:val="none" w:sz="0" w:space="0" w:color="auto" w:frame="1"/>
        </w:rPr>
        <w:t xml:space="preserve">it </w:t>
      </w:r>
      <w:r w:rsidRPr="001E2BA5">
        <w:rPr>
          <w:rFonts w:ascii="Arial" w:eastAsia="Times New Roman" w:hAnsi="Arial" w:cs="Arial"/>
          <w:color w:val="000000"/>
          <w:sz w:val="20"/>
          <w:szCs w:val="20"/>
          <w:bdr w:val="none" w:sz="0" w:space="0" w:color="auto" w:frame="1"/>
        </w:rPr>
        <w:t xml:space="preserve">satisfactory that the goods/services are, to some extent, similar but they are “far/remote” enough to avoid likelihood of confusion to consumers. </w:t>
      </w:r>
      <w:r w:rsidRPr="009018C4">
        <w:rPr>
          <w:rFonts w:ascii="Arial" w:eastAsia="Times New Roman" w:hAnsi="Arial" w:cs="Arial"/>
          <w:color w:val="000000"/>
          <w:sz w:val="20"/>
          <w:szCs w:val="20"/>
          <w:bdr w:val="none" w:sz="0" w:space="0" w:color="auto" w:frame="1"/>
        </w:rPr>
        <w:t>Th</w:t>
      </w:r>
      <w:r>
        <w:rPr>
          <w:rFonts w:ascii="Arial" w:eastAsia="Times New Roman" w:hAnsi="Arial" w:cs="Arial"/>
          <w:color w:val="000000"/>
          <w:sz w:val="20"/>
          <w:szCs w:val="20"/>
          <w:bdr w:val="none" w:sz="0" w:space="0" w:color="auto" w:frame="1"/>
        </w:rPr>
        <w:t>erefore</w:t>
      </w:r>
      <w:r w:rsidRPr="009018C4">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 xml:space="preserve">sharp </w:t>
      </w:r>
      <w:r w:rsidRPr="009018C4">
        <w:rPr>
          <w:rFonts w:ascii="Arial" w:eastAsia="Times New Roman" w:hAnsi="Arial" w:cs="Arial"/>
          <w:color w:val="000000"/>
          <w:sz w:val="20"/>
          <w:szCs w:val="20"/>
          <w:bdr w:val="none" w:sz="0" w:space="0" w:color="auto" w:frame="1"/>
        </w:rPr>
        <w:t xml:space="preserve">arguments on relatedness/non-relatedness </w:t>
      </w:r>
      <w:r w:rsidRPr="00EC0C6A">
        <w:rPr>
          <w:rFonts w:ascii="Arial" w:eastAsia="Times New Roman" w:hAnsi="Arial" w:cs="Arial"/>
          <w:color w:val="000000"/>
          <w:sz w:val="20"/>
          <w:szCs w:val="20"/>
          <w:bdr w:val="none" w:sz="0" w:space="0" w:color="auto" w:frame="1"/>
        </w:rPr>
        <w:t>are</w:t>
      </w:r>
      <w:r w:rsidRPr="009018C4">
        <w:rPr>
          <w:rFonts w:ascii="Arial" w:eastAsia="Times New Roman" w:hAnsi="Arial" w:cs="Arial"/>
          <w:color w:val="000000"/>
          <w:sz w:val="20"/>
          <w:szCs w:val="20"/>
          <w:bdr w:val="none" w:sz="0" w:space="0" w:color="auto" w:frame="1"/>
        </w:rPr>
        <w:t xml:space="preserve"> significant in winning a trademark refusal or opposition/invalidation action in Vietnam.</w:t>
      </w:r>
    </w:p>
    <w:p w14:paraId="51654D25" w14:textId="77777777" w:rsidR="00EA0168" w:rsidRPr="007375E8" w:rsidRDefault="00EA016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8"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T+GD0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D4F36" w14:textId="77777777" w:rsidR="00544425" w:rsidRDefault="00544425">
      <w:pPr>
        <w:spacing w:after="0" w:line="240" w:lineRule="auto"/>
      </w:pPr>
      <w:r>
        <w:separator/>
      </w:r>
    </w:p>
  </w:endnote>
  <w:endnote w:type="continuationSeparator" w:id="0">
    <w:p w14:paraId="0C548DD9" w14:textId="77777777" w:rsidR="00544425" w:rsidRDefault="0054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54442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544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5BE6" w14:textId="77777777" w:rsidR="00544425" w:rsidRDefault="00544425">
      <w:pPr>
        <w:spacing w:after="0" w:line="240" w:lineRule="auto"/>
      </w:pPr>
      <w:r>
        <w:separator/>
      </w:r>
    </w:p>
  </w:footnote>
  <w:footnote w:type="continuationSeparator" w:id="0">
    <w:p w14:paraId="4512613D" w14:textId="77777777" w:rsidR="00544425" w:rsidRDefault="00544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61971"/>
    <w:multiLevelType w:val="hybridMultilevel"/>
    <w:tmpl w:val="62860686"/>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4"/>
  </w:num>
  <w:num w:numId="5">
    <w:abstractNumId w:val="11"/>
  </w:num>
  <w:num w:numId="6">
    <w:abstractNumId w:val="0"/>
  </w:num>
  <w:num w:numId="7">
    <w:abstractNumId w:val="5"/>
  </w:num>
  <w:num w:numId="8">
    <w:abstractNumId w:val="15"/>
  </w:num>
  <w:num w:numId="9">
    <w:abstractNumId w:val="7"/>
  </w:num>
  <w:num w:numId="10">
    <w:abstractNumId w:val="4"/>
  </w:num>
  <w:num w:numId="11">
    <w:abstractNumId w:val="13"/>
  </w:num>
  <w:num w:numId="12">
    <w:abstractNumId w:val="1"/>
  </w:num>
  <w:num w:numId="13">
    <w:abstractNumId w:val="10"/>
  </w:num>
  <w:num w:numId="14">
    <w:abstractNumId w:val="12"/>
  </w:num>
  <w:num w:numId="15">
    <w:abstractNumId w:val="8"/>
  </w:num>
  <w:num w:numId="16">
    <w:abstractNumId w:val="16"/>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51853"/>
    <w:rsid w:val="001D1CDD"/>
    <w:rsid w:val="001E0868"/>
    <w:rsid w:val="001F4343"/>
    <w:rsid w:val="0020199A"/>
    <w:rsid w:val="00215B22"/>
    <w:rsid w:val="00234C16"/>
    <w:rsid w:val="0026031A"/>
    <w:rsid w:val="002753DD"/>
    <w:rsid w:val="002B63C0"/>
    <w:rsid w:val="0032315D"/>
    <w:rsid w:val="0033574A"/>
    <w:rsid w:val="003756D4"/>
    <w:rsid w:val="003C1568"/>
    <w:rsid w:val="003D7C8C"/>
    <w:rsid w:val="004032D8"/>
    <w:rsid w:val="0043492C"/>
    <w:rsid w:val="00471D72"/>
    <w:rsid w:val="004A1761"/>
    <w:rsid w:val="004D64BC"/>
    <w:rsid w:val="00531173"/>
    <w:rsid w:val="00544425"/>
    <w:rsid w:val="00576438"/>
    <w:rsid w:val="005A020D"/>
    <w:rsid w:val="005D32F9"/>
    <w:rsid w:val="006273DC"/>
    <w:rsid w:val="00631122"/>
    <w:rsid w:val="00632DFA"/>
    <w:rsid w:val="00635C52"/>
    <w:rsid w:val="00675D62"/>
    <w:rsid w:val="006C0389"/>
    <w:rsid w:val="006D09DE"/>
    <w:rsid w:val="006F1BC0"/>
    <w:rsid w:val="00705598"/>
    <w:rsid w:val="00722FDC"/>
    <w:rsid w:val="007375E8"/>
    <w:rsid w:val="00745E08"/>
    <w:rsid w:val="00781F0D"/>
    <w:rsid w:val="007C392A"/>
    <w:rsid w:val="00813493"/>
    <w:rsid w:val="008208B8"/>
    <w:rsid w:val="00820E66"/>
    <w:rsid w:val="00834FD0"/>
    <w:rsid w:val="008366D4"/>
    <w:rsid w:val="008416E5"/>
    <w:rsid w:val="00933532"/>
    <w:rsid w:val="00A1150D"/>
    <w:rsid w:val="00A14A11"/>
    <w:rsid w:val="00A4177F"/>
    <w:rsid w:val="00A623C4"/>
    <w:rsid w:val="00AC74F1"/>
    <w:rsid w:val="00AF0703"/>
    <w:rsid w:val="00B61259"/>
    <w:rsid w:val="00B94A22"/>
    <w:rsid w:val="00C13ACF"/>
    <w:rsid w:val="00CA3F97"/>
    <w:rsid w:val="00CB1DA9"/>
    <w:rsid w:val="00CD3D72"/>
    <w:rsid w:val="00CE035D"/>
    <w:rsid w:val="00D02775"/>
    <w:rsid w:val="00D03044"/>
    <w:rsid w:val="00D04B4E"/>
    <w:rsid w:val="00D417C1"/>
    <w:rsid w:val="00D645F2"/>
    <w:rsid w:val="00D75958"/>
    <w:rsid w:val="00D8063A"/>
    <w:rsid w:val="00E02884"/>
    <w:rsid w:val="00E93C75"/>
    <w:rsid w:val="00EA0168"/>
    <w:rsid w:val="00EC12BB"/>
    <w:rsid w:val="00EC5B6B"/>
    <w:rsid w:val="00EF68EE"/>
    <w:rsid w:val="00F1637C"/>
    <w:rsid w:val="00F7004B"/>
    <w:rsid w:val="00FA2CEE"/>
    <w:rsid w:val="00FA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wipo.int/romarin/images/12/25/1225463.jpg" TargetMode="External"/><Relationship Id="rId13" Type="http://schemas.openxmlformats.org/officeDocument/2006/relationships/hyperlink" Target="https://kenfoxlaw.com/approaches-to-overcome-a-refusal-of-a-trademark-application-that-is-identical-or-similar-to-an-expired-mark-in-vietnam" TargetMode="External"/><Relationship Id="rId18" Type="http://schemas.openxmlformats.org/officeDocument/2006/relationships/hyperlink" Target="https://kenfoxlaw.com/wp-content/uploads/2019/02/Circular-No.-01-2007-TT-BKHCN.pdf" TargetMode="External"/><Relationship Id="rId3" Type="http://schemas.openxmlformats.org/officeDocument/2006/relationships/settings" Target="settings.xml"/><Relationship Id="rId21" Type="http://schemas.openxmlformats.org/officeDocument/2006/relationships/image" Target="http://www.wipo.int/romarin/images/11/71/1171753.jpg" TargetMode="External"/><Relationship Id="rId7" Type="http://schemas.openxmlformats.org/officeDocument/2006/relationships/image" Target="media/image1.jpeg"/><Relationship Id="rId12" Type="http://schemas.openxmlformats.org/officeDocument/2006/relationships/image" Target="http://www.wipo.int/romarin/images/11/71/1171753.jpg" TargetMode="External"/><Relationship Id="rId17" Type="http://schemas.openxmlformats.org/officeDocument/2006/relationships/image" Target="http://www.wipo.int/romarin/images/11/71/1171753.jpg" TargetMode="External"/><Relationship Id="rId2" Type="http://schemas.openxmlformats.org/officeDocument/2006/relationships/styles" Target="styles.xml"/><Relationship Id="rId16" Type="http://schemas.openxmlformats.org/officeDocument/2006/relationships/image" Target="http://www.wipo.int/romarin/images/12/25/1225463.jpg" TargetMode="External"/><Relationship Id="rId20" Type="http://schemas.openxmlformats.org/officeDocument/2006/relationships/image" Target="http://www.wipo.int/romarin/images/12/25/1225463.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wipo.int/romarin/images/12/25/1225463.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enfoxlaw.com/critical-points-trademark-examination-processes-in-vietnam" TargetMode="External"/><Relationship Id="rId23" Type="http://schemas.openxmlformats.org/officeDocument/2006/relationships/fontTable" Target="fontTable.xml"/><Relationship Id="rId10" Type="http://schemas.openxmlformats.org/officeDocument/2006/relationships/image" Target="http://www.wipo.int/romarin/images/11/71/1171753.jpg" TargetMode="External"/><Relationship Id="rId19" Type="http://schemas.openxmlformats.org/officeDocument/2006/relationships/hyperlink" Target="https://kenfoxlaw.com/our-practice/our-practice-in-vietnam/ip-practice-in-vietnam/ip-practice-trademark-in-vietna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kenfoxlaw.com/assessing-relatedness-of-the-goods-services-for-examining-registrability-of-trademarks-in-vietna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13</cp:revision>
  <cp:lastPrinted>2023-05-12T03:17:00Z</cp:lastPrinted>
  <dcterms:created xsi:type="dcterms:W3CDTF">2023-02-07T03:35:00Z</dcterms:created>
  <dcterms:modified xsi:type="dcterms:W3CDTF">2023-05-12T06:41:00Z</dcterms:modified>
</cp:coreProperties>
</file>