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38D1E" w14:textId="77777777" w:rsidR="00EF69AF" w:rsidRPr="00EF69AF" w:rsidRDefault="00EF69AF" w:rsidP="00EF69AF">
      <w:pPr>
        <w:spacing w:line="276" w:lineRule="auto"/>
        <w:jc w:val="center"/>
        <w:rPr>
          <w:rFonts w:ascii="Cambria" w:hAnsi="Cambria"/>
          <w:b/>
          <w:bCs/>
          <w:color w:val="242424"/>
          <w:shd w:val="clear" w:color="auto" w:fill="FFFFFF"/>
        </w:rPr>
      </w:pPr>
      <w:r w:rsidRPr="00EF69AF">
        <w:rPr>
          <w:rFonts w:ascii="Cambria" w:hAnsi="Cambria"/>
          <w:b/>
          <w:bCs/>
          <w:color w:val="242424"/>
          <w:shd w:val="clear" w:color="auto" w:fill="FFFFFF"/>
        </w:rPr>
        <w:t>CIRCULAR 08 IS EFFECTIVE, ARE FOREIGN LOANS STILL EASY TO IMPLEMENT?</w:t>
      </w:r>
    </w:p>
    <w:p w14:paraId="14A9A2AD" w14:textId="77777777" w:rsidR="00EF69AF" w:rsidRDefault="00EF69AF" w:rsidP="00EF69AF">
      <w:pPr>
        <w:spacing w:line="276" w:lineRule="auto"/>
        <w:jc w:val="center"/>
        <w:rPr>
          <w:rFonts w:ascii="Cambria" w:hAnsi="Cambria"/>
          <w:color w:val="242424"/>
          <w:shd w:val="clear" w:color="auto" w:fill="FFFFFF"/>
        </w:rPr>
      </w:pPr>
    </w:p>
    <w:p w14:paraId="06BCFE90" w14:textId="77777777" w:rsidR="00EF69AF" w:rsidRPr="002F7DEB" w:rsidRDefault="00CC2FF1" w:rsidP="00EF69AF">
      <w:pPr>
        <w:spacing w:line="276" w:lineRule="auto"/>
        <w:jc w:val="both"/>
        <w:rPr>
          <w:rFonts w:ascii="Cambria" w:hAnsi="Cambria"/>
          <w:b/>
          <w:bCs/>
          <w:lang w:val="vi-VN"/>
        </w:rPr>
      </w:pPr>
      <w:r w:rsidRPr="002F7DEB">
        <w:rPr>
          <w:rFonts w:ascii="Cambria" w:hAnsi="Cambria"/>
          <w:b/>
          <w:bCs/>
          <w:lang w:val="vi-VN"/>
        </w:rPr>
        <w:t>Abstract</w:t>
      </w:r>
      <w:r w:rsidR="00EF69AF" w:rsidRPr="002F7DEB">
        <w:rPr>
          <w:rFonts w:ascii="Cambria" w:hAnsi="Cambria"/>
          <w:b/>
          <w:bCs/>
          <w:lang w:val="vi-VN"/>
        </w:rPr>
        <w:t>:</w:t>
      </w:r>
    </w:p>
    <w:p w14:paraId="1B7E8A1F" w14:textId="77777777" w:rsidR="00EF69AF" w:rsidRDefault="00EF69AF" w:rsidP="00EF69AF">
      <w:pPr>
        <w:spacing w:line="276" w:lineRule="auto"/>
        <w:jc w:val="both"/>
        <w:rPr>
          <w:rFonts w:ascii="Cambria" w:hAnsi="Cambria"/>
          <w:lang w:val="vi-VN"/>
        </w:rPr>
      </w:pPr>
    </w:p>
    <w:p w14:paraId="60857664" w14:textId="77777777" w:rsidR="00EF69AF" w:rsidRDefault="00EF69AF" w:rsidP="00EF69AF">
      <w:pPr>
        <w:spacing w:line="276" w:lineRule="auto"/>
        <w:jc w:val="both"/>
        <w:rPr>
          <w:rFonts w:ascii="Cambria" w:hAnsi="Cambria"/>
          <w:lang w:val="vi-VN"/>
        </w:rPr>
      </w:pPr>
      <w:r>
        <w:rPr>
          <w:rFonts w:ascii="Cambria" w:hAnsi="Cambria"/>
          <w:lang w:val="vi-VN"/>
        </w:rPr>
        <w:t>On June 30, 2023, the Government issued Circular 08/2023/TT-NHNN</w:t>
      </w:r>
      <w:r w:rsidR="001066E1">
        <w:rPr>
          <w:rFonts w:ascii="Cambria" w:hAnsi="Cambria"/>
          <w:lang w:val="vi-VN"/>
        </w:rPr>
        <w:t xml:space="preserve"> (“</w:t>
      </w:r>
      <w:r w:rsidR="001066E1" w:rsidRPr="006C2F02">
        <w:rPr>
          <w:rFonts w:ascii="Cambria" w:hAnsi="Cambria"/>
          <w:b/>
          <w:bCs/>
          <w:lang w:val="vi-VN"/>
        </w:rPr>
        <w:t>Circular 08</w:t>
      </w:r>
      <w:r w:rsidR="001066E1">
        <w:rPr>
          <w:rFonts w:ascii="Cambria" w:hAnsi="Cambria"/>
          <w:lang w:val="vi-VN"/>
        </w:rPr>
        <w:t>”)</w:t>
      </w:r>
      <w:r>
        <w:rPr>
          <w:rFonts w:ascii="Cambria" w:hAnsi="Cambria"/>
          <w:lang w:val="vi-VN"/>
        </w:rPr>
        <w:t>, replacing Circular</w:t>
      </w:r>
      <w:r w:rsidR="001066E1">
        <w:rPr>
          <w:rFonts w:ascii="Cambria" w:hAnsi="Cambria"/>
          <w:lang w:val="vi-VN"/>
        </w:rPr>
        <w:t xml:space="preserve"> </w:t>
      </w:r>
      <w:r>
        <w:rPr>
          <w:rFonts w:ascii="Cambria" w:hAnsi="Cambria"/>
          <w:lang w:val="vi-VN"/>
        </w:rPr>
        <w:t>12/2014/TT-NHNN, regulating conditions for foreign loans not guaranteed by the government.</w:t>
      </w:r>
      <w:r w:rsidR="00EF243F">
        <w:rPr>
          <w:rFonts w:ascii="Cambria" w:hAnsi="Cambria"/>
          <w:lang w:val="vi-VN"/>
        </w:rPr>
        <w:t xml:space="preserve"> Accordingly</w:t>
      </w:r>
      <w:r>
        <w:rPr>
          <w:rFonts w:ascii="Cambria" w:hAnsi="Cambria"/>
          <w:lang w:val="vi-VN"/>
        </w:rPr>
        <w:t>, foreign loans will be tightened, ensuring the management of the country's finances and treasury.</w:t>
      </w:r>
    </w:p>
    <w:p w14:paraId="7B1BBDD4" w14:textId="77777777" w:rsidR="00EF69AF" w:rsidRDefault="00EF69AF" w:rsidP="00EF69AF">
      <w:pPr>
        <w:spacing w:line="276" w:lineRule="auto"/>
        <w:jc w:val="both"/>
        <w:rPr>
          <w:rFonts w:ascii="Cambria" w:hAnsi="Cambria"/>
          <w:lang w:val="vi-VN"/>
        </w:rPr>
      </w:pPr>
    </w:p>
    <w:p w14:paraId="724E769B" w14:textId="77777777" w:rsidR="00EF69AF" w:rsidRDefault="00EF69AF" w:rsidP="00EF69AF">
      <w:pPr>
        <w:spacing w:line="276" w:lineRule="auto"/>
        <w:jc w:val="both"/>
        <w:rPr>
          <w:rFonts w:ascii="Cambria" w:hAnsi="Cambria"/>
          <w:lang w:val="vi-VN"/>
        </w:rPr>
      </w:pPr>
      <w:r>
        <w:rPr>
          <w:rFonts w:ascii="Cambria" w:hAnsi="Cambria"/>
          <w:lang w:val="vi-VN"/>
        </w:rPr>
        <w:t>Circular 08/2023/TT-NHNN officially takes effect from August 15, 2023 and has a number of changes compared to previous legal documents. In this article, we will mention new points related to the limit on the purpose of foreign loans in cases where the borrower is not a credit institution or foreign bank branch (enterprise).</w:t>
      </w:r>
    </w:p>
    <w:p w14:paraId="47291D9B" w14:textId="77777777" w:rsidR="00EF69AF" w:rsidRDefault="00EF69AF" w:rsidP="00EF69AF">
      <w:pPr>
        <w:spacing w:line="276" w:lineRule="auto"/>
        <w:jc w:val="both"/>
        <w:rPr>
          <w:rFonts w:ascii="Cambria" w:hAnsi="Cambria"/>
          <w:lang w:val="vi-VN"/>
        </w:rPr>
      </w:pPr>
    </w:p>
    <w:p w14:paraId="0F61A28C" w14:textId="77777777" w:rsidR="00EF69AF" w:rsidRPr="00791985" w:rsidRDefault="00EF69AF" w:rsidP="00791985">
      <w:pPr>
        <w:pStyle w:val="ListParagraph"/>
        <w:numPr>
          <w:ilvl w:val="0"/>
          <w:numId w:val="3"/>
        </w:numPr>
        <w:spacing w:line="276" w:lineRule="auto"/>
        <w:ind w:left="567" w:hanging="567"/>
        <w:jc w:val="both"/>
        <w:rPr>
          <w:rFonts w:ascii="Cambria" w:hAnsi="Cambria"/>
          <w:b/>
          <w:bCs/>
          <w:lang w:val="vi-VN"/>
        </w:rPr>
      </w:pPr>
      <w:r w:rsidRPr="00791985">
        <w:rPr>
          <w:rFonts w:ascii="Cambria" w:hAnsi="Cambria"/>
          <w:b/>
          <w:bCs/>
          <w:lang w:val="vi-VN"/>
        </w:rPr>
        <w:t>For short-term loans</w:t>
      </w:r>
    </w:p>
    <w:p w14:paraId="2FA5832B" w14:textId="77777777" w:rsidR="00EF69AF" w:rsidRPr="00CC7C11" w:rsidRDefault="00EF69AF" w:rsidP="00EF69AF">
      <w:pPr>
        <w:pStyle w:val="ListParagraph"/>
        <w:spacing w:line="276" w:lineRule="auto"/>
        <w:jc w:val="both"/>
        <w:rPr>
          <w:rFonts w:ascii="Cambria" w:hAnsi="Cambria"/>
          <w:lang w:val="vi-VN"/>
        </w:rPr>
      </w:pPr>
    </w:p>
    <w:p w14:paraId="7BA5C5D6" w14:textId="77777777" w:rsidR="00EF69AF" w:rsidRDefault="00EF69AF" w:rsidP="00791985">
      <w:pPr>
        <w:spacing w:line="276" w:lineRule="auto"/>
        <w:ind w:left="567"/>
        <w:jc w:val="both"/>
        <w:rPr>
          <w:rFonts w:ascii="Cambria" w:hAnsi="Cambria"/>
          <w:lang w:val="vi-VN"/>
        </w:rPr>
      </w:pPr>
      <w:r>
        <w:rPr>
          <w:rFonts w:ascii="Cambria" w:hAnsi="Cambria"/>
          <w:lang w:val="vi-VN"/>
        </w:rPr>
        <w:t xml:space="preserve">According to the provisions of Circular 08, </w:t>
      </w:r>
      <w:r w:rsidR="00CC2FF1">
        <w:rPr>
          <w:rFonts w:ascii="Cambria" w:hAnsi="Cambria"/>
          <w:lang w:val="vi-VN"/>
        </w:rPr>
        <w:t>the enterprise</w:t>
      </w:r>
      <w:r w:rsidR="00EF243F">
        <w:rPr>
          <w:rFonts w:ascii="Cambria" w:hAnsi="Cambria"/>
          <w:lang w:val="vi-VN"/>
        </w:rPr>
        <w:t>s</w:t>
      </w:r>
      <w:r>
        <w:rPr>
          <w:rFonts w:ascii="Cambria" w:hAnsi="Cambria"/>
          <w:lang w:val="vi-VN"/>
        </w:rPr>
        <w:t xml:space="preserve"> when borrowing foreign capital for short-term loans need to prove their borrowing purpose, in which short-term foreign loans are only allowed to “</w:t>
      </w:r>
      <w:r w:rsidRPr="002B33EA">
        <w:rPr>
          <w:rFonts w:ascii="Cambria" w:hAnsi="Cambria"/>
          <w:i/>
          <w:iCs/>
          <w:lang w:val="vi-VN"/>
        </w:rPr>
        <w:t>pay short-term debts payable</w:t>
      </w:r>
      <w:r>
        <w:rPr>
          <w:rFonts w:ascii="Cambria" w:hAnsi="Cambria"/>
          <w:lang w:val="vi-VN"/>
        </w:rPr>
        <w:t>”. According to Circular 200/20</w:t>
      </w:r>
      <w:r w:rsidR="005556C8">
        <w:rPr>
          <w:rFonts w:ascii="Cambria" w:hAnsi="Cambria"/>
          <w:lang w:val="vi-VN"/>
        </w:rPr>
        <w:t>1</w:t>
      </w:r>
      <w:r>
        <w:rPr>
          <w:rFonts w:ascii="Cambria" w:hAnsi="Cambria"/>
          <w:lang w:val="vi-VN"/>
        </w:rPr>
        <w:t xml:space="preserve">4/TT-BTC guiding corporate accounting regimes, </w:t>
      </w:r>
      <w:r w:rsidR="005556C8" w:rsidRPr="005556C8">
        <w:rPr>
          <w:rFonts w:ascii="Cambria" w:hAnsi="Cambria"/>
          <w:lang w:val="vi-VN"/>
        </w:rPr>
        <w:t xml:space="preserve">short-term debt is understood as </w:t>
      </w:r>
      <w:r w:rsidR="006C2F02" w:rsidRPr="006C2F02">
        <w:rPr>
          <w:rFonts w:ascii="Cambria" w:hAnsi="Cambria"/>
          <w:lang w:val="vi-VN"/>
        </w:rPr>
        <w:t>the total value of the debts payable with payment term of within 12 months or less than one normal operating, such as loans and short-term finance lease liabilities or supplier payables, taxes and payables to the State and employees, payable costs, inter-company payables, unearned revenue, provisions payable...</w:t>
      </w:r>
      <w:r>
        <w:rPr>
          <w:rFonts w:ascii="Cambria" w:hAnsi="Cambria"/>
          <w:lang w:val="vi-VN"/>
        </w:rPr>
        <w:t xml:space="preserve"> at the time of reporting.</w:t>
      </w:r>
    </w:p>
    <w:p w14:paraId="21A38BF2" w14:textId="77777777" w:rsidR="00EF69AF" w:rsidRDefault="00EF69AF" w:rsidP="00791985">
      <w:pPr>
        <w:spacing w:line="276" w:lineRule="auto"/>
        <w:ind w:left="567"/>
        <w:jc w:val="both"/>
        <w:rPr>
          <w:rFonts w:ascii="Cambria" w:hAnsi="Cambria"/>
          <w:lang w:val="vi-VN"/>
        </w:rPr>
      </w:pPr>
    </w:p>
    <w:p w14:paraId="1A3C774B" w14:textId="77777777" w:rsidR="00EF69AF" w:rsidRDefault="00EF69AF" w:rsidP="00791985">
      <w:pPr>
        <w:spacing w:line="276" w:lineRule="auto"/>
        <w:ind w:left="567"/>
        <w:jc w:val="both"/>
        <w:rPr>
          <w:rFonts w:ascii="Cambria" w:hAnsi="Cambria"/>
          <w:lang w:val="vi-VN"/>
        </w:rPr>
      </w:pPr>
      <w:r>
        <w:rPr>
          <w:rFonts w:ascii="Cambria" w:hAnsi="Cambria"/>
          <w:lang w:val="vi-VN"/>
        </w:rPr>
        <w:t xml:space="preserve">The regulations </w:t>
      </w:r>
      <w:r w:rsidR="006C2F02">
        <w:rPr>
          <w:rFonts w:ascii="Cambria" w:hAnsi="Cambria"/>
          <w:lang w:val="vi-VN"/>
        </w:rPr>
        <w:t>of</w:t>
      </w:r>
      <w:r>
        <w:rPr>
          <w:rFonts w:ascii="Cambria" w:hAnsi="Cambria"/>
          <w:lang w:val="vi-VN"/>
        </w:rPr>
        <w:t xml:space="preserve"> the Circular</w:t>
      </w:r>
      <w:r w:rsidR="006C2F02">
        <w:rPr>
          <w:rFonts w:ascii="Cambria" w:hAnsi="Cambria"/>
          <w:lang w:val="vi-VN"/>
        </w:rPr>
        <w:t xml:space="preserve"> 08</w:t>
      </w:r>
      <w:r>
        <w:rPr>
          <w:rFonts w:ascii="Cambria" w:hAnsi="Cambria"/>
          <w:lang w:val="vi-VN"/>
        </w:rPr>
        <w:t xml:space="preserve"> are considered as a limited corridor, facilitating financial management for state </w:t>
      </w:r>
      <w:r w:rsidR="005556C8">
        <w:rPr>
          <w:rFonts w:ascii="Cambria" w:hAnsi="Cambria"/>
          <w:lang w:val="vi-VN"/>
        </w:rPr>
        <w:t>authority</w:t>
      </w:r>
      <w:r>
        <w:rPr>
          <w:rFonts w:ascii="Cambria" w:hAnsi="Cambria"/>
          <w:lang w:val="vi-VN"/>
        </w:rPr>
        <w:t xml:space="preserve"> when approached with the "</w:t>
      </w:r>
      <w:r w:rsidR="006C2F02" w:rsidRPr="006C2F02">
        <w:rPr>
          <w:rFonts w:ascii="Cambria" w:hAnsi="Cambria"/>
          <w:lang w:val="vi-VN"/>
        </w:rPr>
        <w:t>positive approach</w:t>
      </w:r>
      <w:r>
        <w:rPr>
          <w:rFonts w:ascii="Cambria" w:hAnsi="Cambria"/>
          <w:lang w:val="vi-VN"/>
        </w:rPr>
        <w:t>" method instead of "</w:t>
      </w:r>
      <w:r w:rsidR="006C2F02" w:rsidRPr="006C2F02">
        <w:rPr>
          <w:rFonts w:ascii="Cambria" w:hAnsi="Cambria"/>
          <w:lang w:val="vi-VN"/>
        </w:rPr>
        <w:t>negative approach</w:t>
      </w:r>
      <w:r>
        <w:rPr>
          <w:rFonts w:ascii="Cambria" w:hAnsi="Cambria"/>
          <w:lang w:val="vi-VN"/>
        </w:rPr>
        <w:t>" as in the regulations of Circular 12/2014</w:t>
      </w:r>
      <w:r w:rsidR="006C2F02">
        <w:rPr>
          <w:rFonts w:ascii="Cambria" w:hAnsi="Cambria"/>
          <w:lang w:val="vi-VN"/>
        </w:rPr>
        <w:t>/TT-NHNN</w:t>
      </w:r>
      <w:r>
        <w:rPr>
          <w:rFonts w:ascii="Cambria" w:hAnsi="Cambria"/>
          <w:lang w:val="vi-VN"/>
        </w:rPr>
        <w:t>.</w:t>
      </w:r>
    </w:p>
    <w:p w14:paraId="1CB92A73" w14:textId="77777777" w:rsidR="00EF69AF" w:rsidRDefault="00EF69AF" w:rsidP="00791985">
      <w:pPr>
        <w:spacing w:line="276" w:lineRule="auto"/>
        <w:ind w:left="567"/>
        <w:jc w:val="both"/>
        <w:rPr>
          <w:rFonts w:ascii="Cambria" w:hAnsi="Cambria"/>
          <w:lang w:val="vi-VN"/>
        </w:rPr>
      </w:pPr>
    </w:p>
    <w:p w14:paraId="069E4C15" w14:textId="77777777" w:rsidR="00791985" w:rsidRDefault="00EF69AF" w:rsidP="00791985">
      <w:pPr>
        <w:spacing w:line="276" w:lineRule="auto"/>
        <w:ind w:left="567"/>
        <w:jc w:val="both"/>
        <w:rPr>
          <w:rFonts w:ascii="Cambria" w:hAnsi="Cambria"/>
          <w:color w:val="000000" w:themeColor="text1"/>
          <w:lang w:val="vi-VN"/>
        </w:rPr>
      </w:pPr>
      <w:r>
        <w:rPr>
          <w:rFonts w:ascii="Cambria" w:hAnsi="Cambria"/>
          <w:lang w:val="vi-VN"/>
        </w:rPr>
        <w:t xml:space="preserve">Previously, Circular 12/2014/TT-NHNN only stipulated that short-term foreign loans could not be used for medium and long-term capital purposes, therefore, short-term foreign loans </w:t>
      </w:r>
      <w:r w:rsidR="00920E69" w:rsidRPr="00920E69">
        <w:rPr>
          <w:rFonts w:ascii="Cambria" w:hAnsi="Cambria"/>
          <w:lang w:val="vi-VN"/>
        </w:rPr>
        <w:t>could be entirely for the purpose of paying long-term debts.</w:t>
      </w:r>
      <w:r w:rsidRPr="00A426D0">
        <w:rPr>
          <w:rFonts w:ascii="Cambria" w:hAnsi="Cambria"/>
          <w:color w:val="000000" w:themeColor="text1"/>
          <w:lang w:val="vi-VN"/>
        </w:rPr>
        <w:t xml:space="preserve"> </w:t>
      </w:r>
      <w:r w:rsidR="00920E69" w:rsidRPr="00920E69">
        <w:rPr>
          <w:rFonts w:ascii="Cambria" w:hAnsi="Cambria"/>
          <w:color w:val="000000" w:themeColor="text1"/>
          <w:lang w:val="vi-VN"/>
        </w:rPr>
        <w:t>The permission and the ease of capital mobilization procedures, however, result in a high growth rate in short-term loan flows, easily causing virtual assets and capital for enterprises,</w:t>
      </w:r>
      <w:r w:rsidR="00791985">
        <w:rPr>
          <w:rStyle w:val="FootnoteReference"/>
          <w:rFonts w:ascii="Cambria" w:hAnsi="Cambria"/>
          <w:color w:val="000000" w:themeColor="text1"/>
          <w:lang w:val="vi-VN"/>
        </w:rPr>
        <w:footnoteReference w:id="1"/>
      </w:r>
      <w:r w:rsidR="00920E69" w:rsidRPr="00920E69">
        <w:rPr>
          <w:rFonts w:ascii="Cambria" w:hAnsi="Cambria"/>
          <w:color w:val="000000" w:themeColor="text1"/>
          <w:lang w:val="vi-VN"/>
        </w:rPr>
        <w:t xml:space="preserve"> which end up victimizing financial investment investors in the "quagmire" of the stock bubble.</w:t>
      </w:r>
    </w:p>
    <w:p w14:paraId="01D96DFE" w14:textId="77777777" w:rsidR="00791985" w:rsidRDefault="00791985" w:rsidP="00791985">
      <w:pPr>
        <w:spacing w:line="276" w:lineRule="auto"/>
        <w:ind w:left="567"/>
        <w:jc w:val="both"/>
        <w:rPr>
          <w:rFonts w:ascii="Cambria" w:hAnsi="Cambria"/>
          <w:color w:val="000000" w:themeColor="text1"/>
          <w:lang w:val="vi-VN"/>
        </w:rPr>
      </w:pPr>
    </w:p>
    <w:p w14:paraId="0D5D4AC5" w14:textId="77777777" w:rsidR="00EF69AF" w:rsidRPr="00791985" w:rsidRDefault="00EF69AF" w:rsidP="00791985">
      <w:pPr>
        <w:spacing w:line="276" w:lineRule="auto"/>
        <w:ind w:left="567"/>
        <w:jc w:val="both"/>
        <w:rPr>
          <w:rFonts w:ascii="Cambria" w:hAnsi="Cambria"/>
          <w:color w:val="000000" w:themeColor="text1"/>
          <w:lang w:val="vi-VN"/>
        </w:rPr>
      </w:pPr>
      <w:r>
        <w:rPr>
          <w:rFonts w:ascii="Cambria" w:hAnsi="Cambria"/>
          <w:lang w:val="vi-VN"/>
        </w:rPr>
        <w:t xml:space="preserve">In addition, when borrowing foreign capital, </w:t>
      </w:r>
      <w:r w:rsidR="009B319A">
        <w:rPr>
          <w:rFonts w:ascii="Cambria" w:hAnsi="Cambria"/>
          <w:lang w:val="vi-VN"/>
        </w:rPr>
        <w:t>the enterprises</w:t>
      </w:r>
      <w:r>
        <w:rPr>
          <w:rFonts w:ascii="Cambria" w:hAnsi="Cambria"/>
          <w:lang w:val="vi-VN"/>
        </w:rPr>
        <w:t xml:space="preserve"> also need to provide additional documents on the loan use plan, clearly stating information, purpose of the loan, need to use foreign loan capital, etc. </w:t>
      </w:r>
      <w:r w:rsidR="00053714">
        <w:rPr>
          <w:rFonts w:ascii="Cambria" w:hAnsi="Cambria"/>
          <w:lang w:val="vi-VN"/>
        </w:rPr>
        <w:t xml:space="preserve">This is the requirement that </w:t>
      </w:r>
      <w:r>
        <w:rPr>
          <w:rFonts w:ascii="Cambria" w:hAnsi="Cambria"/>
          <w:lang w:val="vi-VN"/>
        </w:rPr>
        <w:t xml:space="preserve">has never </w:t>
      </w:r>
      <w:r w:rsidR="00053714">
        <w:rPr>
          <w:rFonts w:ascii="Cambria" w:hAnsi="Cambria"/>
          <w:lang w:val="vi-VN"/>
        </w:rPr>
        <w:t>been applied</w:t>
      </w:r>
      <w:r>
        <w:rPr>
          <w:rFonts w:ascii="Cambria" w:hAnsi="Cambria"/>
          <w:lang w:val="vi-VN"/>
        </w:rPr>
        <w:t xml:space="preserve"> for short-term loans in Circular </w:t>
      </w:r>
      <w:r w:rsidR="009B319A">
        <w:rPr>
          <w:rFonts w:ascii="Cambria" w:hAnsi="Cambria"/>
          <w:lang w:val="vi-VN"/>
        </w:rPr>
        <w:t>12/2014/TT-NHNN</w:t>
      </w:r>
      <w:r>
        <w:rPr>
          <w:rFonts w:ascii="Cambria" w:hAnsi="Cambria"/>
          <w:lang w:val="vi-VN"/>
        </w:rPr>
        <w:t xml:space="preserve"> as well as Circular 12/2022/TT-NHNN </w:t>
      </w:r>
      <w:r w:rsidR="009B319A" w:rsidRPr="009B319A">
        <w:rPr>
          <w:rFonts w:ascii="Cambria" w:hAnsi="Cambria"/>
          <w:lang w:val="vi-VN"/>
        </w:rPr>
        <w:t xml:space="preserve">guidance on foreign exchange </w:t>
      </w:r>
      <w:r w:rsidR="007457EC">
        <w:rPr>
          <w:rFonts w:ascii="Cambria" w:hAnsi="Cambria"/>
          <w:lang w:val="vi-VN"/>
        </w:rPr>
        <w:t>administration in respect of enterprise’s foreign</w:t>
      </w:r>
      <w:r w:rsidR="009B319A" w:rsidRPr="009B319A">
        <w:rPr>
          <w:rFonts w:ascii="Cambria" w:hAnsi="Cambria"/>
          <w:lang w:val="vi-VN"/>
        </w:rPr>
        <w:t xml:space="preserve"> borrowing and </w:t>
      </w:r>
      <w:r w:rsidR="007457EC">
        <w:rPr>
          <w:rFonts w:ascii="Cambria" w:hAnsi="Cambria"/>
          <w:lang w:val="vi-VN"/>
        </w:rPr>
        <w:t xml:space="preserve">foreign </w:t>
      </w:r>
      <w:r w:rsidR="009B319A" w:rsidRPr="009B319A">
        <w:rPr>
          <w:rFonts w:ascii="Cambria" w:hAnsi="Cambria"/>
          <w:lang w:val="vi-VN"/>
        </w:rPr>
        <w:t xml:space="preserve">debt repayment </w:t>
      </w:r>
      <w:r w:rsidR="007457EC">
        <w:rPr>
          <w:rFonts w:ascii="Cambria" w:hAnsi="Cambria"/>
          <w:lang w:val="vi-VN"/>
        </w:rPr>
        <w:t>of</w:t>
      </w:r>
      <w:r w:rsidR="009B319A" w:rsidRPr="009B319A">
        <w:rPr>
          <w:rFonts w:ascii="Cambria" w:hAnsi="Cambria"/>
          <w:lang w:val="vi-VN"/>
        </w:rPr>
        <w:t xml:space="preserve"> enterprises. </w:t>
      </w:r>
      <w:r w:rsidR="00791985" w:rsidRPr="00791985">
        <w:rPr>
          <w:rFonts w:ascii="Cambria" w:hAnsi="Cambria"/>
          <w:lang w:val="vi-VN"/>
        </w:rPr>
        <w:t>Hence, it is no longer just a regulation, but now the plan for using loan capital has detailed instructions for its content, showing that the state bank is determined to tighten the criteria applied to short-term foreign loans.</w:t>
      </w:r>
    </w:p>
    <w:p w14:paraId="4F0A2276" w14:textId="77777777" w:rsidR="00EF69AF" w:rsidRDefault="00EF69AF" w:rsidP="00EF69AF">
      <w:pPr>
        <w:spacing w:line="276" w:lineRule="auto"/>
        <w:jc w:val="both"/>
        <w:rPr>
          <w:rFonts w:ascii="Cambria" w:hAnsi="Cambria"/>
          <w:lang w:val="vi-VN"/>
        </w:rPr>
      </w:pPr>
    </w:p>
    <w:p w14:paraId="52D8F0DE" w14:textId="77777777" w:rsidR="00EF69AF" w:rsidRPr="00791985" w:rsidRDefault="00EF69AF" w:rsidP="00791985">
      <w:pPr>
        <w:pStyle w:val="ListParagraph"/>
        <w:numPr>
          <w:ilvl w:val="0"/>
          <w:numId w:val="3"/>
        </w:numPr>
        <w:spacing w:line="276" w:lineRule="auto"/>
        <w:ind w:left="567" w:hanging="567"/>
        <w:jc w:val="both"/>
        <w:rPr>
          <w:rFonts w:ascii="Cambria" w:hAnsi="Cambria"/>
          <w:lang w:val="vi-VN"/>
        </w:rPr>
      </w:pPr>
      <w:r w:rsidRPr="00791985">
        <w:rPr>
          <w:rFonts w:ascii="Cambria" w:hAnsi="Cambria"/>
          <w:b/>
          <w:bCs/>
          <w:lang w:val="vi-VN"/>
        </w:rPr>
        <w:t xml:space="preserve">For medium and long-term loans </w:t>
      </w:r>
      <w:r w:rsidRPr="00791985">
        <w:rPr>
          <w:rFonts w:ascii="Cambria" w:hAnsi="Cambria"/>
          <w:lang w:val="vi-VN"/>
        </w:rPr>
        <w:t>:</w:t>
      </w:r>
    </w:p>
    <w:p w14:paraId="679D52FB" w14:textId="77777777" w:rsidR="00EF69AF" w:rsidRDefault="00EF69AF" w:rsidP="00EF69AF">
      <w:pPr>
        <w:spacing w:line="276" w:lineRule="auto"/>
        <w:jc w:val="both"/>
        <w:rPr>
          <w:rFonts w:ascii="Cambria" w:hAnsi="Cambria"/>
          <w:lang w:val="vi-VN"/>
        </w:rPr>
      </w:pPr>
    </w:p>
    <w:p w14:paraId="19855B53" w14:textId="77777777" w:rsidR="00EF69AF" w:rsidRDefault="00EF69AF" w:rsidP="00791985">
      <w:pPr>
        <w:spacing w:line="276" w:lineRule="auto"/>
        <w:ind w:left="567"/>
        <w:jc w:val="both"/>
        <w:rPr>
          <w:rFonts w:ascii="Cambria" w:hAnsi="Cambria"/>
          <w:lang w:val="vi-VN"/>
        </w:rPr>
      </w:pPr>
      <w:r>
        <w:rPr>
          <w:rFonts w:ascii="Cambria" w:hAnsi="Cambria"/>
          <w:lang w:val="vi-VN"/>
        </w:rPr>
        <w:t xml:space="preserve">The most notable point of medium and long-term loans is the expansion of the purpose of using </w:t>
      </w:r>
      <w:r w:rsidR="00CD454D">
        <w:rPr>
          <w:rFonts w:ascii="Cambria" w:hAnsi="Cambria"/>
          <w:lang w:val="vi-VN"/>
        </w:rPr>
        <w:t>these</w:t>
      </w:r>
      <w:r>
        <w:rPr>
          <w:rFonts w:ascii="Cambria" w:hAnsi="Cambria"/>
          <w:lang w:val="vi-VN"/>
        </w:rPr>
        <w:t xml:space="preserve"> loans </w:t>
      </w:r>
      <w:r w:rsidR="00CD454D" w:rsidRPr="00CD454D">
        <w:rPr>
          <w:rFonts w:ascii="Cambria" w:hAnsi="Cambria"/>
          <w:lang w:val="vi-VN"/>
        </w:rPr>
        <w:t xml:space="preserve">not only to serve investment projects that have been granted investment registration certificates but also for </w:t>
      </w:r>
      <w:r>
        <w:rPr>
          <w:rFonts w:ascii="Cambria" w:hAnsi="Cambria"/>
          <w:lang w:val="vi-VN"/>
        </w:rPr>
        <w:t xml:space="preserve">"other projects". In </w:t>
      </w:r>
      <w:r w:rsidR="00CD454D">
        <w:rPr>
          <w:rFonts w:ascii="Cambria" w:hAnsi="Cambria"/>
          <w:lang w:val="vi-VN"/>
        </w:rPr>
        <w:t>which</w:t>
      </w:r>
      <w:r>
        <w:rPr>
          <w:rFonts w:ascii="Cambria" w:hAnsi="Cambria"/>
          <w:lang w:val="vi-VN"/>
        </w:rPr>
        <w:t>,</w:t>
      </w:r>
    </w:p>
    <w:p w14:paraId="2C0D4776" w14:textId="77777777" w:rsidR="00EF69AF" w:rsidRDefault="00EF69AF" w:rsidP="00791985">
      <w:pPr>
        <w:spacing w:line="276" w:lineRule="auto"/>
        <w:ind w:left="567"/>
        <w:jc w:val="both"/>
        <w:rPr>
          <w:rFonts w:ascii="Cambria" w:hAnsi="Cambria"/>
          <w:lang w:val="vi-VN"/>
        </w:rPr>
      </w:pPr>
    </w:p>
    <w:p w14:paraId="147B3836" w14:textId="77777777" w:rsidR="00EF69AF" w:rsidRDefault="00EF69AF" w:rsidP="00791985">
      <w:pPr>
        <w:pStyle w:val="ListParagraph"/>
        <w:numPr>
          <w:ilvl w:val="0"/>
          <w:numId w:val="2"/>
        </w:numPr>
        <w:spacing w:line="276" w:lineRule="auto"/>
        <w:ind w:left="993" w:hanging="426"/>
        <w:jc w:val="both"/>
        <w:rPr>
          <w:rFonts w:ascii="Cambria" w:hAnsi="Cambria"/>
          <w:lang w:val="vi-VN"/>
        </w:rPr>
      </w:pPr>
      <w:r w:rsidRPr="003149C1">
        <w:rPr>
          <w:rFonts w:ascii="Cambria" w:hAnsi="Cambria"/>
          <w:b/>
          <w:bCs/>
          <w:lang w:val="vi-VN"/>
        </w:rPr>
        <w:t xml:space="preserve">An investment project </w:t>
      </w:r>
      <w:r w:rsidRPr="003149C1">
        <w:rPr>
          <w:rFonts w:ascii="Cambria" w:hAnsi="Cambria"/>
          <w:lang w:val="vi-VN"/>
        </w:rPr>
        <w:t>is "</w:t>
      </w:r>
      <w:r w:rsidR="00CD454D" w:rsidRPr="00CD454D">
        <w:rPr>
          <w:rFonts w:ascii="Cambria" w:hAnsi="Cambria"/>
          <w:i/>
          <w:iCs/>
          <w:lang w:val="vi-VN"/>
        </w:rPr>
        <w:t>a collection of proposals for the expenditure of mid-term or long-term capital to carry out investment activities in a particular administrative division over a certain period of time.</w:t>
      </w:r>
      <w:r w:rsidRPr="003149C1">
        <w:rPr>
          <w:rFonts w:ascii="Cambria" w:hAnsi="Cambria"/>
          <w:lang w:val="vi-VN"/>
        </w:rPr>
        <w:t>"</w:t>
      </w:r>
      <w:r>
        <w:rPr>
          <w:rStyle w:val="FootnoteReference"/>
          <w:rFonts w:ascii="Cambria" w:hAnsi="Cambria"/>
          <w:lang w:val="vi-VN"/>
        </w:rPr>
        <w:footnoteReference w:id="2"/>
      </w:r>
      <w:r w:rsidR="00371BC6">
        <w:rPr>
          <w:rFonts w:ascii="Cambria" w:hAnsi="Cambria"/>
          <w:lang w:val="vi-VN"/>
        </w:rPr>
        <w:t xml:space="preserve"> </w:t>
      </w:r>
      <w:r w:rsidRPr="003149C1">
        <w:rPr>
          <w:rFonts w:ascii="Cambria" w:hAnsi="Cambria"/>
          <w:lang w:val="vi-VN"/>
        </w:rPr>
        <w:t>or “</w:t>
      </w:r>
      <w:r w:rsidR="00CD454D" w:rsidRPr="00CD454D">
        <w:rPr>
          <w:rFonts w:ascii="Cambria" w:hAnsi="Cambria"/>
          <w:i/>
          <w:iCs/>
          <w:lang w:val="vi-VN"/>
        </w:rPr>
        <w:t>a project for which an investment certificate, investment registration certificate or written approval for investment guidelines is granted by a competent authority as prescribed by the investment law and other relevant laws</w:t>
      </w:r>
      <w:r w:rsidRPr="003149C1">
        <w:rPr>
          <w:rFonts w:ascii="Cambria" w:hAnsi="Cambria"/>
          <w:i/>
          <w:iCs/>
          <w:lang w:val="vi-VN"/>
        </w:rPr>
        <w:t xml:space="preserve">. </w:t>
      </w:r>
      <w:r w:rsidRPr="003149C1">
        <w:rPr>
          <w:rFonts w:ascii="Cambria" w:hAnsi="Cambria"/>
          <w:lang w:val="vi-VN"/>
        </w:rPr>
        <w:t>”</w:t>
      </w:r>
      <w:r>
        <w:rPr>
          <w:rStyle w:val="FootnoteReference"/>
          <w:rFonts w:ascii="Cambria" w:hAnsi="Cambria"/>
          <w:lang w:val="vi-VN"/>
        </w:rPr>
        <w:footnoteReference w:id="3"/>
      </w:r>
    </w:p>
    <w:p w14:paraId="562827E3" w14:textId="77777777" w:rsidR="00EF69AF" w:rsidRDefault="00EF69AF" w:rsidP="00791985">
      <w:pPr>
        <w:pStyle w:val="ListParagraph"/>
        <w:spacing w:line="276" w:lineRule="auto"/>
        <w:ind w:left="993" w:hanging="426"/>
        <w:jc w:val="both"/>
        <w:rPr>
          <w:rFonts w:ascii="Cambria" w:hAnsi="Cambria"/>
          <w:lang w:val="vi-VN"/>
        </w:rPr>
      </w:pPr>
    </w:p>
    <w:p w14:paraId="5D8F191D" w14:textId="77777777" w:rsidR="00EF69AF" w:rsidRPr="003149C1" w:rsidRDefault="00EF69AF" w:rsidP="00791985">
      <w:pPr>
        <w:pStyle w:val="ListParagraph"/>
        <w:numPr>
          <w:ilvl w:val="0"/>
          <w:numId w:val="2"/>
        </w:numPr>
        <w:spacing w:line="276" w:lineRule="auto"/>
        <w:ind w:left="993" w:hanging="426"/>
        <w:jc w:val="both"/>
        <w:rPr>
          <w:rFonts w:ascii="Cambria" w:hAnsi="Cambria"/>
          <w:lang w:val="vi-VN"/>
        </w:rPr>
      </w:pPr>
      <w:r w:rsidRPr="003149C1">
        <w:rPr>
          <w:rFonts w:ascii="Cambria" w:hAnsi="Cambria"/>
          <w:b/>
          <w:bCs/>
          <w:lang w:val="vi-VN"/>
        </w:rPr>
        <w:t xml:space="preserve">Other projects </w:t>
      </w:r>
      <w:r>
        <w:rPr>
          <w:rFonts w:ascii="Cambria" w:hAnsi="Cambria"/>
          <w:lang w:val="vi-VN"/>
        </w:rPr>
        <w:t>are projects that do not fall under the investment projects as prescribed above.</w:t>
      </w:r>
      <w:r>
        <w:rPr>
          <w:rStyle w:val="FootnoteReference"/>
          <w:rFonts w:ascii="Cambria" w:hAnsi="Cambria"/>
          <w:lang w:val="vi-VN"/>
        </w:rPr>
        <w:footnoteReference w:id="4"/>
      </w:r>
    </w:p>
    <w:p w14:paraId="55C34BB8" w14:textId="77777777" w:rsidR="00EF69AF" w:rsidRDefault="00EF69AF" w:rsidP="00791985">
      <w:pPr>
        <w:spacing w:line="276" w:lineRule="auto"/>
        <w:ind w:left="567"/>
        <w:jc w:val="both"/>
        <w:rPr>
          <w:rFonts w:ascii="Cambria" w:hAnsi="Cambria"/>
          <w:lang w:val="vi-VN"/>
        </w:rPr>
      </w:pPr>
    </w:p>
    <w:p w14:paraId="403CB80C" w14:textId="77777777" w:rsidR="00EF69AF" w:rsidRDefault="008258FD" w:rsidP="00791985">
      <w:pPr>
        <w:spacing w:line="276" w:lineRule="auto"/>
        <w:ind w:left="567"/>
        <w:jc w:val="both"/>
        <w:rPr>
          <w:rFonts w:ascii="Cambria" w:hAnsi="Cambria"/>
          <w:lang w:val="vi-VN"/>
        </w:rPr>
      </w:pPr>
      <w:r w:rsidRPr="008258FD">
        <w:rPr>
          <w:rFonts w:ascii="Cambria" w:hAnsi="Cambria"/>
          <w:lang w:val="vi-VN"/>
        </w:rPr>
        <w:t xml:space="preserve">Accordingly, with the </w:t>
      </w:r>
      <w:r w:rsidR="00371BC6">
        <w:rPr>
          <w:rFonts w:ascii="Cambria" w:hAnsi="Cambria"/>
          <w:lang w:val="vi-VN"/>
        </w:rPr>
        <w:t>phrase</w:t>
      </w:r>
      <w:r w:rsidRPr="008258FD">
        <w:rPr>
          <w:rFonts w:ascii="Cambria" w:hAnsi="Cambria"/>
          <w:lang w:val="vi-VN"/>
        </w:rPr>
        <w:t xml:space="preserve"> of "other projects", lawmakers continue to "empty" the regulations governing whether foreign loans can be approved for capital investment activities, while indirectly allowing the </w:t>
      </w:r>
      <w:r>
        <w:rPr>
          <w:rFonts w:ascii="Cambria" w:hAnsi="Cambria"/>
          <w:lang w:val="vi-VN"/>
        </w:rPr>
        <w:t xml:space="preserve">State </w:t>
      </w:r>
      <w:r w:rsidRPr="008258FD">
        <w:rPr>
          <w:rFonts w:ascii="Cambria" w:hAnsi="Cambria"/>
          <w:lang w:val="vi-VN"/>
        </w:rPr>
        <w:t>Bank</w:t>
      </w:r>
      <w:r>
        <w:rPr>
          <w:rFonts w:ascii="Cambria" w:hAnsi="Cambria"/>
          <w:lang w:val="vi-VN"/>
        </w:rPr>
        <w:t>s</w:t>
      </w:r>
      <w:r w:rsidRPr="008258FD">
        <w:rPr>
          <w:rFonts w:ascii="Cambria" w:hAnsi="Cambria"/>
          <w:lang w:val="vi-VN"/>
        </w:rPr>
        <w:t xml:space="preserve"> to have certain rights to consider allowing the use of loan capital for capital investment (M&amp;A), specifically to pay for the purchase or transfer of capital contributions in a limited liability company or shares in an unlisted joint stock company.</w:t>
      </w:r>
      <w:r>
        <w:rPr>
          <w:rFonts w:ascii="Cambria" w:hAnsi="Cambria"/>
          <w:lang w:val="vi-VN"/>
        </w:rPr>
        <w:t xml:space="preserve"> </w:t>
      </w:r>
      <w:r w:rsidR="00EF69AF">
        <w:rPr>
          <w:rFonts w:ascii="Cambria" w:hAnsi="Cambria"/>
          <w:lang w:val="vi-VN"/>
        </w:rPr>
        <w:t xml:space="preserve">This is also partly compatible in the </w:t>
      </w:r>
      <w:r w:rsidR="00CD454D">
        <w:rPr>
          <w:rFonts w:ascii="Cambria" w:hAnsi="Cambria"/>
          <w:lang w:val="vi-VN"/>
        </w:rPr>
        <w:t>situation</w:t>
      </w:r>
      <w:r w:rsidR="00EF69AF">
        <w:rPr>
          <w:rFonts w:ascii="Cambria" w:hAnsi="Cambria"/>
          <w:lang w:val="vi-VN"/>
        </w:rPr>
        <w:t xml:space="preserve"> that domestic loans for the same purpose are no longer limited with the provisions in Circular 10/2023/TT-NHNN amending Circular 06/2023/TT-</w:t>
      </w:r>
      <w:r w:rsidR="00CD454D">
        <w:rPr>
          <w:rFonts w:ascii="Cambria" w:hAnsi="Cambria"/>
          <w:lang w:val="vi-VN"/>
        </w:rPr>
        <w:t>NHNN</w:t>
      </w:r>
      <w:r w:rsidR="00EF69AF">
        <w:rPr>
          <w:rFonts w:ascii="Cambria" w:hAnsi="Cambria"/>
          <w:lang w:val="vi-VN"/>
        </w:rPr>
        <w:t xml:space="preserve"> regulations on abolishing restrictions on borrowing capital for capital investment. Thanks to that, it </w:t>
      </w:r>
      <w:r w:rsidR="00EF69AF">
        <w:rPr>
          <w:rFonts w:ascii="Cambria" w:hAnsi="Cambria"/>
          <w:lang w:val="vi-VN"/>
        </w:rPr>
        <w:lastRenderedPageBreak/>
        <w:t xml:space="preserve">creates conditions for </w:t>
      </w:r>
      <w:r w:rsidR="002F7DEB">
        <w:rPr>
          <w:rFonts w:ascii="Cambria" w:hAnsi="Cambria"/>
          <w:lang w:val="vi-VN"/>
        </w:rPr>
        <w:t>enterprises</w:t>
      </w:r>
      <w:r w:rsidR="00EF69AF">
        <w:rPr>
          <w:rFonts w:ascii="Cambria" w:hAnsi="Cambria"/>
          <w:lang w:val="vi-VN"/>
        </w:rPr>
        <w:t xml:space="preserve"> to access available capital, support M&amp;A activities, and improve supply to the market.</w:t>
      </w:r>
    </w:p>
    <w:p w14:paraId="746D74E8" w14:textId="77777777" w:rsidR="00EF69AF" w:rsidRDefault="00EF69AF" w:rsidP="00EF69AF">
      <w:pPr>
        <w:spacing w:line="276" w:lineRule="auto"/>
        <w:jc w:val="both"/>
        <w:rPr>
          <w:rFonts w:ascii="Cambria" w:hAnsi="Cambria"/>
          <w:lang w:val="vi-VN"/>
        </w:rPr>
      </w:pPr>
    </w:p>
    <w:p w14:paraId="262ACC3D" w14:textId="77777777" w:rsidR="00EF69AF" w:rsidRPr="00791985" w:rsidRDefault="00EF69AF" w:rsidP="00791985">
      <w:pPr>
        <w:pStyle w:val="ListParagraph"/>
        <w:numPr>
          <w:ilvl w:val="0"/>
          <w:numId w:val="3"/>
        </w:numPr>
        <w:spacing w:line="276" w:lineRule="auto"/>
        <w:ind w:left="567" w:hanging="567"/>
        <w:jc w:val="both"/>
        <w:rPr>
          <w:rFonts w:ascii="Cambria" w:hAnsi="Cambria"/>
          <w:b/>
          <w:bCs/>
          <w:lang w:val="vi-VN"/>
        </w:rPr>
      </w:pPr>
      <w:r w:rsidRPr="00791985">
        <w:rPr>
          <w:rFonts w:ascii="Cambria" w:hAnsi="Cambria"/>
          <w:b/>
          <w:bCs/>
          <w:lang w:val="vi-VN"/>
        </w:rPr>
        <w:t>Tighten regulations on short-term foreign loans, loosen medium and long-term foreign loans</w:t>
      </w:r>
    </w:p>
    <w:p w14:paraId="52E9FFA0" w14:textId="77777777" w:rsidR="00EF69AF" w:rsidRDefault="00EF69AF" w:rsidP="00EF69AF">
      <w:pPr>
        <w:spacing w:line="276" w:lineRule="auto"/>
        <w:jc w:val="both"/>
        <w:rPr>
          <w:rFonts w:ascii="Cambria" w:hAnsi="Cambria"/>
          <w:lang w:val="vi-VN"/>
        </w:rPr>
      </w:pPr>
    </w:p>
    <w:p w14:paraId="76007131" w14:textId="77777777" w:rsidR="00EF69AF" w:rsidRDefault="004F0C54" w:rsidP="00791985">
      <w:pPr>
        <w:spacing w:line="276" w:lineRule="auto"/>
        <w:ind w:left="567"/>
        <w:jc w:val="both"/>
        <w:rPr>
          <w:rFonts w:ascii="Cambria" w:hAnsi="Cambria"/>
          <w:lang w:val="vi-VN"/>
        </w:rPr>
      </w:pPr>
      <w:r w:rsidRPr="004F0C54">
        <w:rPr>
          <w:rFonts w:ascii="Cambria" w:hAnsi="Cambria"/>
          <w:lang w:val="vi-VN"/>
        </w:rPr>
        <w:t>In fact, short, medium and long-term foreign loan flows are accounting for a high proportion in the stock and real estate markets, accounting for about 70-80% of the economy's total self-borrowed and self-repaid foreign loa</w:t>
      </w:r>
      <w:r>
        <w:rPr>
          <w:rFonts w:ascii="Cambria" w:hAnsi="Cambria"/>
          <w:lang w:val="vi-VN"/>
        </w:rPr>
        <w:t>n.</w:t>
      </w:r>
      <w:r>
        <w:rPr>
          <w:rStyle w:val="FootnoteReference"/>
          <w:rFonts w:ascii="Cambria" w:hAnsi="Cambria"/>
          <w:lang w:val="vi-VN"/>
        </w:rPr>
        <w:footnoteReference w:id="5"/>
      </w:r>
      <w:r w:rsidRPr="004F0C54">
        <w:rPr>
          <w:rFonts w:ascii="Cambria" w:hAnsi="Cambria"/>
          <w:lang w:val="vi-VN"/>
        </w:rPr>
        <w:t xml:space="preserve"> </w:t>
      </w:r>
      <w:r w:rsidR="00E32FEA" w:rsidRPr="00E32FEA">
        <w:rPr>
          <w:rFonts w:ascii="Cambria" w:hAnsi="Cambria"/>
          <w:lang w:val="vi-VN"/>
        </w:rPr>
        <w:t xml:space="preserve">Therefore, it is completely reasonable that lawmakers are increasingly tightening regulations on short-term foreign loans, but at the same time expanding medium and long-term loans (on loans for capital investment). There are still many difficulties in our country's economy, and tightening </w:t>
      </w:r>
      <w:r w:rsidR="00E32FEA">
        <w:rPr>
          <w:rFonts w:ascii="Cambria" w:hAnsi="Cambria"/>
          <w:lang w:val="vi-VN"/>
        </w:rPr>
        <w:t xml:space="preserve">all </w:t>
      </w:r>
      <w:r w:rsidR="00E32FEA" w:rsidRPr="00E32FEA">
        <w:rPr>
          <w:rFonts w:ascii="Cambria" w:hAnsi="Cambria"/>
          <w:lang w:val="vi-VN"/>
        </w:rPr>
        <w:t>foreign loans will have a significant impact on the production and business activities of the enterprises, so we need to keep and</w:t>
      </w:r>
      <w:r w:rsidR="00E32FEA">
        <w:rPr>
          <w:rFonts w:ascii="Cambria" w:hAnsi="Cambria"/>
          <w:lang w:val="vi-VN"/>
        </w:rPr>
        <w:t>/or</w:t>
      </w:r>
      <w:r w:rsidR="00E32FEA" w:rsidRPr="00E32FEA">
        <w:rPr>
          <w:rFonts w:ascii="Cambria" w:hAnsi="Cambria"/>
          <w:lang w:val="vi-VN"/>
        </w:rPr>
        <w:t xml:space="preserve"> expand medium- and long-term loans to support businesses, as well as create conditions for economic growth. </w:t>
      </w:r>
      <w:r w:rsidR="00E32FEA">
        <w:rPr>
          <w:rFonts w:ascii="Cambria" w:hAnsi="Cambria"/>
          <w:lang w:val="vi-VN"/>
        </w:rPr>
        <w:t>Meanwhile</w:t>
      </w:r>
      <w:r w:rsidR="00E32FEA" w:rsidRPr="00E32FEA">
        <w:rPr>
          <w:rFonts w:ascii="Cambria" w:hAnsi="Cambria"/>
          <w:lang w:val="vi-VN"/>
        </w:rPr>
        <w:t>, short-term foreign loans are not guaranteed by any procedure, while medium- and long-term loans must be approved through loan registration with the state bank. Therefore, it is still necessary to tighten regulations requiring state agencies to inspect and control short-term loan capital.</w:t>
      </w:r>
    </w:p>
    <w:p w14:paraId="0A6E2621" w14:textId="77777777" w:rsidR="00C16F1C" w:rsidRDefault="00C16F1C" w:rsidP="00791985">
      <w:pPr>
        <w:spacing w:line="276" w:lineRule="auto"/>
        <w:ind w:left="567"/>
        <w:jc w:val="both"/>
        <w:rPr>
          <w:rFonts w:ascii="Cambria" w:hAnsi="Cambria"/>
          <w:lang w:val="vi-VN"/>
        </w:rPr>
      </w:pPr>
    </w:p>
    <w:p w14:paraId="6C75638E" w14:textId="77DD7557" w:rsidR="00C16F1C" w:rsidRPr="00C16F1C" w:rsidRDefault="00C16F1C" w:rsidP="00C16F1C">
      <w:pPr>
        <w:spacing w:line="276" w:lineRule="auto"/>
        <w:ind w:left="567"/>
        <w:jc w:val="right"/>
        <w:rPr>
          <w:rFonts w:ascii="Cambria" w:hAnsi="Cambria"/>
          <w:b/>
          <w:bCs/>
          <w:lang w:val="en-US"/>
        </w:rPr>
      </w:pPr>
      <w:r w:rsidRPr="00C16F1C">
        <w:rPr>
          <w:rFonts w:ascii="Cambria" w:hAnsi="Cambria"/>
          <w:b/>
          <w:bCs/>
          <w:lang w:val="en-US"/>
        </w:rPr>
        <w:t>ADK VIETNAM LAWYERS</w:t>
      </w:r>
    </w:p>
    <w:p w14:paraId="0A035D5D" w14:textId="77777777" w:rsidR="00EF69AF" w:rsidRPr="00EF69AF" w:rsidRDefault="00EF69AF">
      <w:pPr>
        <w:rPr>
          <w:lang w:val="vi-VN"/>
        </w:rPr>
      </w:pPr>
    </w:p>
    <w:sectPr w:rsidR="00EF69AF" w:rsidRPr="00EF69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9721" w14:textId="77777777" w:rsidR="001B23B5" w:rsidRDefault="001B23B5" w:rsidP="00EF69AF">
      <w:r>
        <w:separator/>
      </w:r>
    </w:p>
  </w:endnote>
  <w:endnote w:type="continuationSeparator" w:id="0">
    <w:p w14:paraId="6A50D32C" w14:textId="77777777" w:rsidR="001B23B5" w:rsidRDefault="001B23B5" w:rsidP="00EF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95A9" w14:textId="77777777" w:rsidR="001B23B5" w:rsidRDefault="001B23B5" w:rsidP="00EF69AF">
      <w:r>
        <w:separator/>
      </w:r>
    </w:p>
  </w:footnote>
  <w:footnote w:type="continuationSeparator" w:id="0">
    <w:p w14:paraId="4536DEE4" w14:textId="77777777" w:rsidR="001B23B5" w:rsidRDefault="001B23B5" w:rsidP="00EF69AF">
      <w:r>
        <w:continuationSeparator/>
      </w:r>
    </w:p>
  </w:footnote>
  <w:footnote w:id="1">
    <w:p w14:paraId="542F4ADB" w14:textId="09138260" w:rsidR="00791985" w:rsidRPr="00791985" w:rsidRDefault="00791985">
      <w:pPr>
        <w:pStyle w:val="FootnoteText"/>
        <w:rPr>
          <w:lang w:val="vi-VN"/>
        </w:rPr>
      </w:pPr>
      <w:r>
        <w:rPr>
          <w:rStyle w:val="FootnoteReference"/>
        </w:rPr>
        <w:footnoteRef/>
      </w:r>
      <w:r>
        <w:t xml:space="preserve"> </w:t>
      </w:r>
      <w:hyperlink r:id="rId1" w:history="1">
        <w:r w:rsidRPr="00EF69AF">
          <w:rPr>
            <w:rStyle w:val="Hyperlink"/>
            <w:rFonts w:ascii="Cambria" w:hAnsi="Cambria"/>
            <w:lang w:val="vi-VN"/>
          </w:rPr>
          <w:t>https://plo.vn/han-che-vay-ngan-han-nuoc-ngoai-cua-cac-ong-lon-post680745.html</w:t>
        </w:r>
      </w:hyperlink>
      <w:r w:rsidRPr="00EF69AF">
        <w:rPr>
          <w:rFonts w:ascii="Cambria" w:hAnsi="Cambria"/>
          <w:lang w:val="vi-VN"/>
        </w:rPr>
        <w:t>.</w:t>
      </w:r>
    </w:p>
  </w:footnote>
  <w:footnote w:id="2">
    <w:p w14:paraId="35579C3C" w14:textId="77777777" w:rsidR="00EF69AF" w:rsidRPr="00EF69AF" w:rsidRDefault="00EF69AF" w:rsidP="00EF69AF">
      <w:pPr>
        <w:pStyle w:val="FootnoteText"/>
        <w:rPr>
          <w:rFonts w:ascii="Cambria" w:hAnsi="Cambria"/>
          <w:lang w:val="vi-VN"/>
        </w:rPr>
      </w:pPr>
      <w:r w:rsidRPr="00EF69AF">
        <w:rPr>
          <w:rStyle w:val="FootnoteReference"/>
          <w:rFonts w:ascii="Cambria" w:hAnsi="Cambria"/>
        </w:rPr>
        <w:footnoteRef/>
      </w:r>
      <w:r w:rsidRPr="00EF69AF">
        <w:rPr>
          <w:rFonts w:ascii="Cambria" w:hAnsi="Cambria"/>
        </w:rPr>
        <w:t xml:space="preserve">Article </w:t>
      </w:r>
      <w:r w:rsidRPr="00EF69AF">
        <w:rPr>
          <w:rFonts w:ascii="Cambria" w:hAnsi="Cambria"/>
          <w:lang w:val="vi-VN"/>
        </w:rPr>
        <w:t xml:space="preserve">3.4 Law </w:t>
      </w:r>
      <w:r w:rsidR="00CD454D">
        <w:rPr>
          <w:rFonts w:ascii="Cambria" w:hAnsi="Cambria"/>
          <w:lang w:val="vi-VN"/>
        </w:rPr>
        <w:t xml:space="preserve">on </w:t>
      </w:r>
      <w:r w:rsidR="00CD454D" w:rsidRPr="00EF69AF">
        <w:rPr>
          <w:rFonts w:ascii="Cambria" w:hAnsi="Cambria"/>
          <w:lang w:val="vi-VN"/>
        </w:rPr>
        <w:t xml:space="preserve">Investment </w:t>
      </w:r>
      <w:r w:rsidRPr="00EF69AF">
        <w:rPr>
          <w:rFonts w:ascii="Cambria" w:hAnsi="Cambria"/>
          <w:lang w:val="vi-VN"/>
        </w:rPr>
        <w:t>2020</w:t>
      </w:r>
      <w:r w:rsidR="00CD454D">
        <w:rPr>
          <w:rFonts w:ascii="Cambria" w:hAnsi="Cambria"/>
          <w:lang w:val="vi-VN"/>
        </w:rPr>
        <w:t>.</w:t>
      </w:r>
    </w:p>
  </w:footnote>
  <w:footnote w:id="3">
    <w:p w14:paraId="7D117A1E" w14:textId="77777777" w:rsidR="00EF69AF" w:rsidRPr="00EF69AF" w:rsidRDefault="00EF69AF" w:rsidP="00EF69AF">
      <w:pPr>
        <w:pStyle w:val="FootnoteText"/>
        <w:rPr>
          <w:rFonts w:ascii="Cambria" w:hAnsi="Cambria"/>
          <w:lang w:val="vi-VN"/>
        </w:rPr>
      </w:pPr>
      <w:r w:rsidRPr="00EF69AF">
        <w:rPr>
          <w:rStyle w:val="FootnoteReference"/>
          <w:rFonts w:ascii="Cambria" w:hAnsi="Cambria"/>
        </w:rPr>
        <w:footnoteRef/>
      </w:r>
      <w:r w:rsidRPr="00EF69AF">
        <w:rPr>
          <w:rFonts w:ascii="Cambria" w:hAnsi="Cambria"/>
        </w:rPr>
        <w:t xml:space="preserve">Article </w:t>
      </w:r>
      <w:r w:rsidRPr="00EF69AF">
        <w:rPr>
          <w:rFonts w:ascii="Cambria" w:hAnsi="Cambria"/>
          <w:lang w:val="vi-VN"/>
        </w:rPr>
        <w:t>3.3 Circular 08/2023/TT-NHNN.</w:t>
      </w:r>
    </w:p>
  </w:footnote>
  <w:footnote w:id="4">
    <w:p w14:paraId="2286C650" w14:textId="77777777" w:rsidR="00EF69AF" w:rsidRPr="00EF69AF" w:rsidRDefault="00EF69AF" w:rsidP="00EF69AF">
      <w:pPr>
        <w:pStyle w:val="FootnoteText"/>
        <w:rPr>
          <w:rFonts w:ascii="Cambria" w:hAnsi="Cambria"/>
          <w:lang w:val="vi-VN"/>
        </w:rPr>
      </w:pPr>
      <w:r w:rsidRPr="00EF69AF">
        <w:rPr>
          <w:rStyle w:val="FootnoteReference"/>
          <w:rFonts w:ascii="Cambria" w:hAnsi="Cambria"/>
        </w:rPr>
        <w:footnoteRef/>
      </w:r>
      <w:r w:rsidRPr="00EF69AF">
        <w:rPr>
          <w:rFonts w:ascii="Cambria" w:hAnsi="Cambria"/>
        </w:rPr>
        <w:t xml:space="preserve">Article </w:t>
      </w:r>
      <w:r w:rsidRPr="00EF69AF">
        <w:rPr>
          <w:rFonts w:ascii="Cambria" w:hAnsi="Cambria"/>
          <w:lang w:val="vi-VN"/>
        </w:rPr>
        <w:t>3.4 Circular 08/2023/TT-NHNN.</w:t>
      </w:r>
    </w:p>
  </w:footnote>
  <w:footnote w:id="5">
    <w:p w14:paraId="2772B6D1" w14:textId="7F0A5828" w:rsidR="004F0C54" w:rsidRPr="00791985" w:rsidRDefault="004F0C54" w:rsidP="004F0C54">
      <w:pPr>
        <w:pStyle w:val="FootnoteText"/>
        <w:rPr>
          <w:rFonts w:ascii="Cambria" w:hAnsi="Cambria"/>
          <w:lang w:val="vi-VN"/>
        </w:rPr>
      </w:pPr>
      <w:r w:rsidRPr="00EF69AF">
        <w:rPr>
          <w:rStyle w:val="FootnoteReference"/>
          <w:rFonts w:ascii="Cambria" w:hAnsi="Cambria"/>
        </w:rPr>
        <w:footnoteRef/>
      </w:r>
      <w:r w:rsidR="00791985" w:rsidRPr="00791985">
        <w:rPr>
          <w:rFonts w:ascii="Cambria" w:hAnsi="Cambria"/>
          <w:lang w:val="vi-VN"/>
        </w:rPr>
        <w:t xml:space="preserve"> </w:t>
      </w:r>
      <w:hyperlink r:id="rId2" w:history="1">
        <w:r w:rsidR="00791985" w:rsidRPr="00EF69AF">
          <w:rPr>
            <w:rStyle w:val="Hyperlink"/>
            <w:rFonts w:ascii="Cambria" w:hAnsi="Cambria"/>
            <w:lang w:val="vi-VN"/>
          </w:rPr>
          <w:t>https://vneconomy.vn/ngan-hang-nha-nuoc-lap-rao-ngan-von-vay-nuoc-ngoai-ngan-han-do-vao-chung-khoan-bat-dong-san.htm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7A6D"/>
    <w:multiLevelType w:val="hybridMultilevel"/>
    <w:tmpl w:val="E81E680A"/>
    <w:lvl w:ilvl="0" w:tplc="046612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5520D"/>
    <w:multiLevelType w:val="hybridMultilevel"/>
    <w:tmpl w:val="B79E9B50"/>
    <w:lvl w:ilvl="0" w:tplc="6994BF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2E2F05"/>
    <w:multiLevelType w:val="hybridMultilevel"/>
    <w:tmpl w:val="1B480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292306">
    <w:abstractNumId w:val="2"/>
  </w:num>
  <w:num w:numId="2" w16cid:durableId="1182087429">
    <w:abstractNumId w:val="0"/>
  </w:num>
  <w:num w:numId="3" w16cid:durableId="2036614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AF"/>
    <w:rsid w:val="00053714"/>
    <w:rsid w:val="001066E1"/>
    <w:rsid w:val="001369C1"/>
    <w:rsid w:val="001B23B5"/>
    <w:rsid w:val="002F7DEB"/>
    <w:rsid w:val="00371BC6"/>
    <w:rsid w:val="0047418E"/>
    <w:rsid w:val="004F0C54"/>
    <w:rsid w:val="00504421"/>
    <w:rsid w:val="005556C8"/>
    <w:rsid w:val="00561E3A"/>
    <w:rsid w:val="006C2F02"/>
    <w:rsid w:val="007457EC"/>
    <w:rsid w:val="00791985"/>
    <w:rsid w:val="008258FD"/>
    <w:rsid w:val="008C3E7B"/>
    <w:rsid w:val="00920E69"/>
    <w:rsid w:val="009B319A"/>
    <w:rsid w:val="00BE32E3"/>
    <w:rsid w:val="00C16F1C"/>
    <w:rsid w:val="00CC2FF1"/>
    <w:rsid w:val="00CD454D"/>
    <w:rsid w:val="00E32FEA"/>
    <w:rsid w:val="00EF243F"/>
    <w:rsid w:val="00EF69AF"/>
    <w:rsid w:val="00F1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A610"/>
  <w15:chartTrackingRefBased/>
  <w15:docId w15:val="{62650794-5D23-6D45-A284-B8A59D3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AF"/>
    <w:pPr>
      <w:ind w:left="720"/>
      <w:contextualSpacing/>
    </w:pPr>
  </w:style>
  <w:style w:type="character" w:styleId="Hyperlink">
    <w:name w:val="Hyperlink"/>
    <w:basedOn w:val="DefaultParagraphFont"/>
    <w:uiPriority w:val="99"/>
    <w:unhideWhenUsed/>
    <w:rsid w:val="00EF69AF"/>
    <w:rPr>
      <w:color w:val="0563C1" w:themeColor="hyperlink"/>
      <w:u w:val="single"/>
    </w:rPr>
  </w:style>
  <w:style w:type="paragraph" w:styleId="FootnoteText">
    <w:name w:val="footnote text"/>
    <w:basedOn w:val="Normal"/>
    <w:link w:val="FootnoteTextChar"/>
    <w:uiPriority w:val="99"/>
    <w:semiHidden/>
    <w:unhideWhenUsed/>
    <w:rsid w:val="00EF69AF"/>
    <w:rPr>
      <w:sz w:val="20"/>
      <w:szCs w:val="20"/>
    </w:rPr>
  </w:style>
  <w:style w:type="character" w:customStyle="1" w:styleId="FootnoteTextChar">
    <w:name w:val="Footnote Text Char"/>
    <w:basedOn w:val="DefaultParagraphFont"/>
    <w:link w:val="FootnoteText"/>
    <w:uiPriority w:val="99"/>
    <w:semiHidden/>
    <w:rsid w:val="00EF69AF"/>
    <w:rPr>
      <w:sz w:val="20"/>
      <w:szCs w:val="20"/>
    </w:rPr>
  </w:style>
  <w:style w:type="character" w:styleId="FootnoteReference">
    <w:name w:val="footnote reference"/>
    <w:basedOn w:val="DefaultParagraphFont"/>
    <w:uiPriority w:val="99"/>
    <w:semiHidden/>
    <w:unhideWhenUsed/>
    <w:rsid w:val="00EF6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vneconomy.vn/ngan-hang-nha-nuoc-lap-rao-ngan-von-vay-nuoc-ngoai-ngan-han-do-vao-chung-khoan-bat-dong-san.htm" TargetMode="External"/><Relationship Id="rId1" Type="http://schemas.openxmlformats.org/officeDocument/2006/relationships/hyperlink" Target="https://plo.vn/han-che-vay-ngan-han-nuoc-ngoai-cua-cac-ong-lon-post6807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10</cp:revision>
  <dcterms:created xsi:type="dcterms:W3CDTF">2023-09-25T07:45:00Z</dcterms:created>
  <dcterms:modified xsi:type="dcterms:W3CDTF">2023-10-06T13:26:00Z</dcterms:modified>
</cp:coreProperties>
</file>