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104E8E33" w14:textId="77C4D556" w:rsidR="006E236C" w:rsidRPr="006E236C" w:rsidRDefault="004D64BC" w:rsidP="006E236C">
      <w:pPr>
        <w:jc w:val="center"/>
        <w:outlineLvl w:val="0"/>
        <w:rPr>
          <w:rFonts w:ascii="Arial" w:hAnsi="Arial" w:cs="Arial"/>
          <w:b/>
          <w:iCs/>
          <w:color w:val="C00000"/>
        </w:rPr>
      </w:pPr>
      <w:r w:rsidRPr="00745E08">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5C48D245">
                <wp:simplePos x="0" y="0"/>
                <wp:positionH relativeFrom="column">
                  <wp:posOffset>6385891</wp:posOffset>
                </wp:positionH>
                <wp:positionV relativeFrom="paragraph">
                  <wp:posOffset>-379095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2AF60EA1" w:rsidR="00FA2CEE" w:rsidRPr="00BA68B8" w:rsidRDefault="006E236C" w:rsidP="00FA2CEE">
                            <w:pPr>
                              <w:spacing w:after="0" w:line="240" w:lineRule="auto"/>
                              <w:rPr>
                                <w:rFonts w:ascii="Arial" w:hAnsi="Arial" w:cs="Arial"/>
                                <w:b/>
                                <w:color w:val="FFFFFF" w:themeColor="background1"/>
                                <w:sz w:val="20"/>
                                <w:szCs w:val="20"/>
                              </w:rPr>
                            </w:pPr>
                            <w:r w:rsidRPr="006E236C">
                              <w:rPr>
                                <w:rFonts w:ascii="Arial" w:hAnsi="Arial" w:cs="Arial"/>
                                <w:b/>
                                <w:bCs/>
                                <w:color w:val="FFFFFF" w:themeColor="background1"/>
                                <w:sz w:val="20"/>
                                <w:szCs w:val="20"/>
                              </w:rPr>
                              <w:t>Analyzing Trademark Differences in Vietnam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2.85pt;margin-top:-29.8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" fillcolor="#00b39c" strokecolor="#00b39c" strokeweight="0">
                <v:textbox style="layout-flow:vertical">
                  <w:txbxContent>
                    <w:p w14:paraId="0E54C250" w14:textId="2AF60EA1" w:rsidR="00FA2CEE" w:rsidRPr="00BA68B8" w:rsidRDefault="006E236C" w:rsidP="00FA2CEE">
                      <w:pPr>
                        <w:spacing w:after="0" w:line="240" w:lineRule="auto"/>
                        <w:rPr>
                          <w:rFonts w:ascii="Arial" w:hAnsi="Arial" w:cs="Arial"/>
                          <w:b/>
                          <w:color w:val="FFFFFF" w:themeColor="background1"/>
                          <w:sz w:val="20"/>
                          <w:szCs w:val="20"/>
                        </w:rPr>
                      </w:pPr>
                      <w:r w:rsidRPr="006E236C">
                        <w:rPr>
                          <w:rFonts w:ascii="Arial" w:hAnsi="Arial" w:cs="Arial"/>
                          <w:b/>
                          <w:bCs/>
                          <w:color w:val="FFFFFF" w:themeColor="background1"/>
                          <w:sz w:val="20"/>
                          <w:szCs w:val="20"/>
                        </w:rPr>
                        <w:t>Analyzing Trademark Differences in Vietnam</w:t>
                      </w:r>
                    </w:p>
                  </w:txbxContent>
                </v:textbox>
              </v:rect>
            </w:pict>
          </mc:Fallback>
        </mc:AlternateContent>
      </w:r>
      <w:r w:rsidR="00745E08" w:rsidRPr="00745E08">
        <w:rPr>
          <w:rFonts w:ascii="Arial" w:hAnsi="Arial" w:cs="Arial"/>
          <w:b/>
          <w:bCs/>
          <w:noProof/>
          <w:color w:val="C00000"/>
          <w:lang w:eastAsia="ko-KR"/>
        </w:rPr>
        <mc:AlternateContent>
          <mc:Choice Requires="wps">
            <w:drawing>
              <wp:anchor distT="0" distB="0" distL="114300" distR="114300" simplePos="0" relativeHeight="251661312" behindDoc="0" locked="0" layoutInCell="1" allowOverlap="1" wp14:anchorId="08F771EF" wp14:editId="6D42C6A3">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6C1BB6A4" w:rsidR="00FA2CEE" w:rsidRPr="00CC7576" w:rsidRDefault="006E236C" w:rsidP="00FA2CEE">
                            <w:pPr>
                              <w:spacing w:after="0"/>
                              <w:jc w:val="center"/>
                              <w:rPr>
                                <w:rFonts w:ascii="Arial" w:hAnsi="Arial" w:cs="Arial"/>
                                <w:b/>
                                <w:color w:val="FFFFFF" w:themeColor="background1"/>
                                <w:sz w:val="20"/>
                                <w:szCs w:val="20"/>
                              </w:rPr>
                            </w:pPr>
                            <w:r w:rsidRPr="006E236C">
                              <w:rPr>
                                <w:rFonts w:ascii="Arial" w:hAnsi="Arial" w:cs="Arial"/>
                                <w:b/>
                                <w:bCs/>
                                <w:color w:val="FFFFFF" w:themeColor="background1"/>
                                <w:sz w:val="20"/>
                                <w:szCs w:val="20"/>
                              </w:rPr>
                              <w:t>Analyzing Trademark Differences in Vietnam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6C1BB6A4" w:rsidR="00FA2CEE" w:rsidRPr="00CC7576" w:rsidRDefault="006E236C" w:rsidP="00FA2CEE">
                      <w:pPr>
                        <w:spacing w:after="0"/>
                        <w:jc w:val="center"/>
                        <w:rPr>
                          <w:rFonts w:ascii="Arial" w:hAnsi="Arial" w:cs="Arial"/>
                          <w:b/>
                          <w:color w:val="FFFFFF" w:themeColor="background1"/>
                          <w:sz w:val="20"/>
                          <w:szCs w:val="20"/>
                        </w:rPr>
                      </w:pPr>
                      <w:r w:rsidRPr="006E236C">
                        <w:rPr>
                          <w:rFonts w:ascii="Arial" w:hAnsi="Arial" w:cs="Arial"/>
                          <w:b/>
                          <w:bCs/>
                          <w:color w:val="FFFFFF" w:themeColor="background1"/>
                          <w:sz w:val="20"/>
                          <w:szCs w:val="20"/>
                        </w:rPr>
                        <w:t>Analyzing Trademark Differences in Vietnam</w:t>
                      </w:r>
                    </w:p>
                  </w:txbxContent>
                </v:textbox>
                <w10:wrap anchorx="page"/>
              </v:rect>
            </w:pict>
          </mc:Fallback>
        </mc:AlternateContent>
      </w:r>
      <w:r w:rsidR="00745E08" w:rsidRPr="00745E08">
        <w:rPr>
          <w:rFonts w:ascii="Arial" w:hAnsi="Arial" w:cs="Arial"/>
          <w:b/>
          <w:iCs/>
          <w:color w:val="C00000"/>
        </w:rPr>
        <w:t xml:space="preserve"> </w:t>
      </w:r>
      <w:r w:rsidR="006E236C" w:rsidRPr="006E236C">
        <w:rPr>
          <w:rFonts w:ascii="Arial" w:hAnsi="Arial" w:cs="Arial"/>
          <w:b/>
          <w:iCs/>
          <w:color w:val="C00000"/>
        </w:rPr>
        <w:t>Zhong Wu vs. ZHONGYU: Analyzing Trademark Differences Based on Which Principles in Vietnam?</w:t>
      </w:r>
    </w:p>
    <w:p w14:paraId="30B1F1FA" w14:textId="77777777" w:rsidR="006E236C" w:rsidRDefault="006E236C" w:rsidP="006E236C">
      <w:pPr>
        <w:spacing w:after="0" w:line="240" w:lineRule="auto"/>
        <w:jc w:val="both"/>
        <w:rPr>
          <w:rFonts w:ascii="Arial" w:hAnsi="Arial" w:cs="Arial"/>
          <w:b/>
          <w:bCs/>
          <w:sz w:val="20"/>
          <w:szCs w:val="20"/>
        </w:rPr>
      </w:pPr>
    </w:p>
    <w:p w14:paraId="359CC72F" w14:textId="77777777" w:rsidR="006E236C" w:rsidRDefault="006E236C" w:rsidP="006E236C">
      <w:pPr>
        <w:spacing w:after="0" w:line="240" w:lineRule="auto"/>
        <w:jc w:val="both"/>
        <w:rPr>
          <w:rFonts w:ascii="Arial" w:hAnsi="Arial" w:cs="Arial"/>
          <w:sz w:val="20"/>
          <w:szCs w:val="20"/>
        </w:rPr>
      </w:pPr>
      <w:r w:rsidRPr="006C28CF">
        <w:rPr>
          <w:rFonts w:ascii="Arial" w:hAnsi="Arial" w:cs="Arial"/>
          <w:sz w:val="20"/>
          <w:szCs w:val="20"/>
        </w:rPr>
        <w:t xml:space="preserve">Appealing </w:t>
      </w:r>
      <w:hyperlink r:id="rId7" w:history="1">
        <w:r w:rsidRPr="00196BF8">
          <w:rPr>
            <w:rStyle w:val="Hyperlink"/>
            <w:rFonts w:ascii="Arial" w:hAnsi="Arial" w:cs="Arial"/>
            <w:sz w:val="20"/>
            <w:szCs w:val="20"/>
          </w:rPr>
          <w:t>a trademark refusal</w:t>
        </w:r>
      </w:hyperlink>
      <w:r w:rsidRPr="006C28CF">
        <w:rPr>
          <w:rFonts w:ascii="Arial" w:hAnsi="Arial" w:cs="Arial"/>
          <w:sz w:val="20"/>
          <w:szCs w:val="20"/>
        </w:rPr>
        <w:t xml:space="preserve"> decision from the Intellectual Property Office of Vietnam (</w:t>
      </w:r>
      <w:r w:rsidRPr="006C28CF">
        <w:rPr>
          <w:rFonts w:ascii="Arial" w:hAnsi="Arial" w:cs="Arial"/>
          <w:b/>
          <w:bCs/>
          <w:sz w:val="20"/>
          <w:szCs w:val="20"/>
        </w:rPr>
        <w:t>VNIPO</w:t>
      </w:r>
      <w:r w:rsidRPr="006C28CF">
        <w:rPr>
          <w:rFonts w:ascii="Arial" w:hAnsi="Arial" w:cs="Arial"/>
          <w:sz w:val="20"/>
          <w:szCs w:val="20"/>
        </w:rPr>
        <w:t xml:space="preserve">) presents significant legal challenges, even with a single ground for refusal. Facing multiple grounds compounds the difficulty. However, </w:t>
      </w:r>
      <w:r w:rsidRPr="000A1A02">
        <w:rPr>
          <w:rFonts w:ascii="Arial" w:hAnsi="Arial" w:cs="Arial"/>
          <w:sz w:val="20"/>
          <w:szCs w:val="20"/>
        </w:rPr>
        <w:t>KENFOX IP &amp; Law Office recently succeeded in overturning a refusal</w:t>
      </w:r>
      <w:r w:rsidRPr="006C28CF">
        <w:rPr>
          <w:rFonts w:ascii="Arial" w:hAnsi="Arial" w:cs="Arial"/>
          <w:sz w:val="20"/>
          <w:szCs w:val="20"/>
        </w:rPr>
        <w:t xml:space="preserve"> for a trademark filed through the Madrid System designating Vietnam, despite the mark being rejected on three distinct grounds.</w:t>
      </w:r>
    </w:p>
    <w:p w14:paraId="5A9214DD" w14:textId="77777777" w:rsidR="006E236C" w:rsidRPr="006C28CF" w:rsidRDefault="006E236C" w:rsidP="006E236C">
      <w:pPr>
        <w:spacing w:after="0" w:line="240" w:lineRule="auto"/>
        <w:jc w:val="both"/>
        <w:rPr>
          <w:rFonts w:ascii="Arial" w:hAnsi="Arial" w:cs="Arial"/>
          <w:sz w:val="20"/>
          <w:szCs w:val="20"/>
        </w:rPr>
      </w:pPr>
    </w:p>
    <w:p w14:paraId="3137445E" w14:textId="77777777" w:rsidR="006E236C" w:rsidRDefault="006E236C" w:rsidP="006E236C">
      <w:pPr>
        <w:spacing w:after="0" w:line="240" w:lineRule="auto"/>
        <w:jc w:val="both"/>
        <w:rPr>
          <w:rFonts w:ascii="Arial" w:hAnsi="Arial" w:cs="Arial"/>
          <w:sz w:val="20"/>
          <w:szCs w:val="20"/>
        </w:rPr>
      </w:pPr>
      <w:r w:rsidRPr="006C28CF">
        <w:rPr>
          <w:rFonts w:ascii="Arial" w:hAnsi="Arial" w:cs="Arial"/>
          <w:sz w:val="20"/>
          <w:szCs w:val="20"/>
        </w:rPr>
        <w:t>What persuaded the VNIPO to reconsider its initial conclusion and ultimately recognize the distinctiveness of a trademark previously rejected for containing Chinese characters and exhibiting similarities to two cited marks? What lessons can be learned from this successful appeal?</w:t>
      </w:r>
    </w:p>
    <w:p w14:paraId="30469B13" w14:textId="77777777" w:rsidR="006E236C" w:rsidRPr="006C28CF" w:rsidRDefault="006E236C" w:rsidP="006E236C">
      <w:pPr>
        <w:spacing w:after="0" w:line="240" w:lineRule="auto"/>
        <w:jc w:val="both"/>
        <w:rPr>
          <w:rFonts w:ascii="Arial" w:hAnsi="Arial" w:cs="Arial"/>
          <w:sz w:val="20"/>
          <w:szCs w:val="20"/>
        </w:rPr>
      </w:pPr>
    </w:p>
    <w:p w14:paraId="1FB7E1F9" w14:textId="77777777" w:rsidR="006E236C" w:rsidRPr="006C28CF" w:rsidRDefault="006E236C" w:rsidP="006E236C">
      <w:pPr>
        <w:spacing w:after="0" w:line="240" w:lineRule="auto"/>
        <w:jc w:val="both"/>
        <w:rPr>
          <w:rFonts w:ascii="Arial" w:hAnsi="Arial" w:cs="Arial"/>
          <w:b/>
          <w:bCs/>
          <w:color w:val="2F5496" w:themeColor="accent1" w:themeShade="BF"/>
        </w:rPr>
      </w:pPr>
      <w:r w:rsidRPr="006C28CF">
        <w:rPr>
          <w:rFonts w:ascii="Arial" w:hAnsi="Arial" w:cs="Arial"/>
          <w:b/>
          <w:bCs/>
          <w:color w:val="2F5496" w:themeColor="accent1" w:themeShade="BF"/>
        </w:rPr>
        <w:t>Background</w:t>
      </w:r>
    </w:p>
    <w:p w14:paraId="6C64DE87" w14:textId="77777777" w:rsidR="006E236C" w:rsidRPr="006C28CF" w:rsidRDefault="006E236C" w:rsidP="006E236C">
      <w:pPr>
        <w:spacing w:after="0" w:line="240" w:lineRule="auto"/>
        <w:jc w:val="both"/>
        <w:rPr>
          <w:rFonts w:ascii="Arial" w:hAnsi="Arial" w:cs="Arial"/>
          <w:sz w:val="20"/>
          <w:szCs w:val="20"/>
        </w:rPr>
      </w:pPr>
    </w:p>
    <w:p w14:paraId="74B9CF69" w14:textId="77777777" w:rsidR="006E236C" w:rsidRDefault="006E236C" w:rsidP="006E236C">
      <w:pPr>
        <w:spacing w:after="0" w:line="240" w:lineRule="auto"/>
        <w:jc w:val="both"/>
        <w:rPr>
          <w:rFonts w:ascii="Arial" w:hAnsi="Arial" w:cs="Arial"/>
          <w:sz w:val="20"/>
          <w:szCs w:val="20"/>
        </w:rPr>
      </w:pPr>
      <w:r w:rsidRPr="006C28CF">
        <w:rPr>
          <w:rFonts w:ascii="Arial" w:hAnsi="Arial" w:cs="Arial"/>
          <w:sz w:val="20"/>
          <w:szCs w:val="20"/>
        </w:rPr>
        <w:t xml:space="preserve">In 2018, the VNIPO refused protection for the trademark "Zhong Wu, Chinese characters and device" citing three provisions of </w:t>
      </w:r>
      <w:r w:rsidRPr="000A1A02">
        <w:rPr>
          <w:rFonts w:ascii="Arial" w:hAnsi="Arial" w:cs="Arial"/>
          <w:sz w:val="20"/>
          <w:szCs w:val="20"/>
        </w:rPr>
        <w:t>the Intellectual Property Law</w:t>
      </w:r>
      <w:r w:rsidRPr="006C28CF">
        <w:rPr>
          <w:rFonts w:ascii="Arial" w:hAnsi="Arial" w:cs="Arial"/>
          <w:sz w:val="20"/>
          <w:szCs w:val="20"/>
        </w:rPr>
        <w:t>: Articles 74.2(a), 74.2(e), and 74.2(h). Specifically:</w:t>
      </w:r>
    </w:p>
    <w:p w14:paraId="1756DE6A" w14:textId="77777777" w:rsidR="006E236C" w:rsidRPr="006C28CF" w:rsidRDefault="006E236C" w:rsidP="006E236C">
      <w:pPr>
        <w:spacing w:after="0"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715"/>
        <w:gridCol w:w="2430"/>
        <w:gridCol w:w="6205"/>
      </w:tblGrid>
      <w:tr w:rsidR="006E236C" w:rsidRPr="006C28CF" w14:paraId="4188B42B" w14:textId="77777777" w:rsidTr="00A74C71">
        <w:tc>
          <w:tcPr>
            <w:tcW w:w="715" w:type="dxa"/>
          </w:tcPr>
          <w:p w14:paraId="7A9F584E" w14:textId="77777777" w:rsidR="006E236C" w:rsidRPr="006C28CF" w:rsidRDefault="006E236C" w:rsidP="00A74C71">
            <w:pPr>
              <w:jc w:val="both"/>
              <w:rPr>
                <w:rFonts w:ascii="Arial" w:eastAsia="Times New Roman" w:hAnsi="Arial" w:cs="Arial"/>
                <w:b/>
                <w:bCs/>
                <w:sz w:val="20"/>
                <w:szCs w:val="20"/>
              </w:rPr>
            </w:pPr>
            <w:r w:rsidRPr="006C28CF">
              <w:rPr>
                <w:rFonts w:ascii="Arial" w:eastAsia="Times New Roman" w:hAnsi="Arial" w:cs="Arial"/>
                <w:b/>
                <w:bCs/>
                <w:sz w:val="20"/>
                <w:szCs w:val="20"/>
              </w:rPr>
              <w:t>No.</w:t>
            </w:r>
          </w:p>
        </w:tc>
        <w:tc>
          <w:tcPr>
            <w:tcW w:w="2430" w:type="dxa"/>
          </w:tcPr>
          <w:p w14:paraId="4E0B9355" w14:textId="77777777" w:rsidR="006E236C" w:rsidRPr="006C28CF" w:rsidRDefault="006E236C" w:rsidP="00A74C71">
            <w:pPr>
              <w:jc w:val="both"/>
              <w:rPr>
                <w:rFonts w:ascii="Arial" w:eastAsia="Times New Roman" w:hAnsi="Arial" w:cs="Arial"/>
                <w:b/>
                <w:bCs/>
                <w:sz w:val="20"/>
                <w:szCs w:val="20"/>
              </w:rPr>
            </w:pPr>
            <w:r w:rsidRPr="006C28CF">
              <w:rPr>
                <w:rFonts w:ascii="Arial" w:eastAsia="Times New Roman" w:hAnsi="Arial" w:cs="Arial"/>
                <w:b/>
                <w:bCs/>
                <w:sz w:val="20"/>
                <w:szCs w:val="20"/>
              </w:rPr>
              <w:t>Applied-for mark</w:t>
            </w:r>
          </w:p>
        </w:tc>
        <w:tc>
          <w:tcPr>
            <w:tcW w:w="6205" w:type="dxa"/>
          </w:tcPr>
          <w:p w14:paraId="2D200C68" w14:textId="77777777" w:rsidR="006E236C" w:rsidRPr="006C28CF" w:rsidRDefault="006E236C" w:rsidP="00A74C71">
            <w:pPr>
              <w:jc w:val="both"/>
              <w:rPr>
                <w:rFonts w:ascii="Arial" w:eastAsia="Times New Roman" w:hAnsi="Arial" w:cs="Arial"/>
                <w:b/>
                <w:bCs/>
                <w:sz w:val="20"/>
                <w:szCs w:val="20"/>
              </w:rPr>
            </w:pPr>
            <w:r w:rsidRPr="006C28CF">
              <w:rPr>
                <w:rFonts w:ascii="Arial" w:eastAsia="Times New Roman" w:hAnsi="Arial" w:cs="Arial"/>
                <w:b/>
                <w:bCs/>
                <w:sz w:val="20"/>
                <w:szCs w:val="20"/>
              </w:rPr>
              <w:t>Grounds of refusal</w:t>
            </w:r>
          </w:p>
        </w:tc>
      </w:tr>
      <w:tr w:rsidR="006E236C" w:rsidRPr="006C28CF" w14:paraId="60E1AEE5" w14:textId="77777777" w:rsidTr="00A74C71">
        <w:tc>
          <w:tcPr>
            <w:tcW w:w="715" w:type="dxa"/>
            <w:vMerge w:val="restart"/>
          </w:tcPr>
          <w:p w14:paraId="3474ACEA" w14:textId="77777777" w:rsidR="006E236C" w:rsidRPr="006C28CF" w:rsidRDefault="006E236C" w:rsidP="00A74C71">
            <w:pPr>
              <w:jc w:val="both"/>
              <w:rPr>
                <w:rFonts w:ascii="Arial" w:eastAsia="Times New Roman" w:hAnsi="Arial" w:cs="Arial"/>
                <w:sz w:val="20"/>
                <w:szCs w:val="20"/>
              </w:rPr>
            </w:pPr>
          </w:p>
          <w:p w14:paraId="7B1A57EF" w14:textId="77777777" w:rsidR="006E236C" w:rsidRPr="006C28CF" w:rsidRDefault="006E236C" w:rsidP="00A74C71">
            <w:pPr>
              <w:jc w:val="both"/>
              <w:rPr>
                <w:rFonts w:ascii="Arial" w:eastAsia="Times New Roman" w:hAnsi="Arial" w:cs="Arial"/>
                <w:sz w:val="20"/>
                <w:szCs w:val="20"/>
              </w:rPr>
            </w:pPr>
          </w:p>
          <w:p w14:paraId="3CAC5E3E" w14:textId="77777777" w:rsidR="006E236C" w:rsidRPr="006C28CF" w:rsidRDefault="006E236C" w:rsidP="00A74C71">
            <w:pPr>
              <w:jc w:val="both"/>
              <w:rPr>
                <w:rFonts w:ascii="Arial" w:eastAsia="Times New Roman" w:hAnsi="Arial" w:cs="Arial"/>
                <w:sz w:val="20"/>
                <w:szCs w:val="20"/>
              </w:rPr>
            </w:pPr>
          </w:p>
          <w:p w14:paraId="3BA83216" w14:textId="77777777" w:rsidR="006E236C" w:rsidRPr="006C28CF" w:rsidRDefault="006E236C" w:rsidP="00A74C71">
            <w:pPr>
              <w:jc w:val="both"/>
              <w:rPr>
                <w:rFonts w:ascii="Arial" w:eastAsia="Times New Roman" w:hAnsi="Arial" w:cs="Arial"/>
                <w:sz w:val="20"/>
                <w:szCs w:val="20"/>
              </w:rPr>
            </w:pPr>
          </w:p>
          <w:p w14:paraId="3E964D5C" w14:textId="77777777" w:rsidR="006E236C" w:rsidRPr="006C28CF" w:rsidRDefault="006E236C" w:rsidP="00A74C71">
            <w:pPr>
              <w:jc w:val="both"/>
              <w:rPr>
                <w:rFonts w:ascii="Arial" w:eastAsia="Times New Roman" w:hAnsi="Arial" w:cs="Arial"/>
                <w:sz w:val="20"/>
                <w:szCs w:val="20"/>
              </w:rPr>
            </w:pPr>
          </w:p>
          <w:p w14:paraId="27229452" w14:textId="77777777" w:rsidR="006E236C" w:rsidRPr="006C28CF" w:rsidRDefault="006E236C" w:rsidP="00A74C71">
            <w:pPr>
              <w:jc w:val="both"/>
              <w:rPr>
                <w:rFonts w:ascii="Arial" w:eastAsia="Times New Roman" w:hAnsi="Arial" w:cs="Arial"/>
                <w:sz w:val="20"/>
                <w:szCs w:val="20"/>
              </w:rPr>
            </w:pPr>
            <w:r w:rsidRPr="006C28CF">
              <w:rPr>
                <w:rFonts w:ascii="Arial" w:eastAsia="Times New Roman" w:hAnsi="Arial" w:cs="Arial"/>
                <w:sz w:val="20"/>
                <w:szCs w:val="20"/>
              </w:rPr>
              <w:t>1</w:t>
            </w:r>
          </w:p>
        </w:tc>
        <w:tc>
          <w:tcPr>
            <w:tcW w:w="2430" w:type="dxa"/>
            <w:vMerge w:val="restart"/>
          </w:tcPr>
          <w:p w14:paraId="74A0D5B8" w14:textId="77777777" w:rsidR="006E236C" w:rsidRPr="006C28CF" w:rsidRDefault="006E236C" w:rsidP="00A74C71">
            <w:pPr>
              <w:jc w:val="both"/>
              <w:rPr>
                <w:rFonts w:ascii="Arial" w:hAnsi="Arial" w:cs="Arial"/>
                <w:noProof/>
                <w:sz w:val="20"/>
                <w:szCs w:val="20"/>
              </w:rPr>
            </w:pPr>
          </w:p>
          <w:p w14:paraId="5933DC11" w14:textId="77777777" w:rsidR="006E236C" w:rsidRPr="006C28CF" w:rsidRDefault="006E236C" w:rsidP="00A74C71">
            <w:pPr>
              <w:jc w:val="both"/>
              <w:rPr>
                <w:rFonts w:ascii="Arial" w:hAnsi="Arial" w:cs="Arial"/>
                <w:noProof/>
                <w:sz w:val="20"/>
                <w:szCs w:val="20"/>
              </w:rPr>
            </w:pPr>
          </w:p>
          <w:p w14:paraId="358E6B7E" w14:textId="77777777" w:rsidR="006E236C" w:rsidRPr="006C28CF" w:rsidRDefault="006E236C" w:rsidP="00A74C71">
            <w:pPr>
              <w:jc w:val="both"/>
              <w:rPr>
                <w:rFonts w:ascii="Arial" w:hAnsi="Arial" w:cs="Arial"/>
                <w:noProof/>
                <w:sz w:val="20"/>
                <w:szCs w:val="20"/>
              </w:rPr>
            </w:pPr>
          </w:p>
          <w:p w14:paraId="33BE8928" w14:textId="77777777" w:rsidR="006E236C" w:rsidRPr="006C28CF" w:rsidRDefault="006E236C" w:rsidP="00A74C71">
            <w:pPr>
              <w:jc w:val="both"/>
              <w:rPr>
                <w:rFonts w:ascii="Arial" w:hAnsi="Arial" w:cs="Arial"/>
                <w:noProof/>
                <w:sz w:val="20"/>
                <w:szCs w:val="20"/>
              </w:rPr>
            </w:pPr>
          </w:p>
          <w:p w14:paraId="2FA088D7" w14:textId="77777777" w:rsidR="006E236C" w:rsidRPr="006C28CF" w:rsidRDefault="006E236C" w:rsidP="00A74C71">
            <w:pPr>
              <w:jc w:val="both"/>
              <w:rPr>
                <w:rFonts w:ascii="Arial" w:eastAsia="Times New Roman" w:hAnsi="Arial" w:cs="Arial"/>
                <w:sz w:val="20"/>
                <w:szCs w:val="20"/>
              </w:rPr>
            </w:pPr>
            <w:r w:rsidRPr="006C28CF">
              <w:rPr>
                <w:rFonts w:ascii="Arial" w:hAnsi="Arial" w:cs="Arial"/>
                <w:noProof/>
                <w:sz w:val="20"/>
                <w:szCs w:val="20"/>
              </w:rPr>
              <w:drawing>
                <wp:inline distT="0" distB="0" distL="0" distR="0" wp14:anchorId="5384F060" wp14:editId="2E067F86">
                  <wp:extent cx="1355382" cy="1238250"/>
                  <wp:effectExtent l="0" t="0" r="0" b="0"/>
                  <wp:docPr id="3" name="Picture 3" descr="Description: Zhong 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Zhong W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5879" cy="1256976"/>
                          </a:xfrm>
                          <a:prstGeom prst="rect">
                            <a:avLst/>
                          </a:prstGeom>
                          <a:noFill/>
                          <a:ln>
                            <a:noFill/>
                          </a:ln>
                        </pic:spPr>
                      </pic:pic>
                    </a:graphicData>
                  </a:graphic>
                </wp:inline>
              </w:drawing>
            </w:r>
          </w:p>
        </w:tc>
        <w:tc>
          <w:tcPr>
            <w:tcW w:w="6205" w:type="dxa"/>
          </w:tcPr>
          <w:p w14:paraId="3CAE7A9F" w14:textId="77777777" w:rsidR="006E236C" w:rsidRPr="006C28CF" w:rsidRDefault="006E236C" w:rsidP="006E236C">
            <w:pPr>
              <w:pStyle w:val="ListParagraph"/>
              <w:numPr>
                <w:ilvl w:val="0"/>
                <w:numId w:val="19"/>
              </w:numPr>
              <w:jc w:val="both"/>
              <w:rPr>
                <w:rFonts w:ascii="Arial" w:eastAsia="Times New Roman" w:hAnsi="Arial" w:cs="Arial"/>
                <w:sz w:val="20"/>
                <w:szCs w:val="20"/>
              </w:rPr>
            </w:pPr>
            <w:r w:rsidRPr="006C28CF">
              <w:rPr>
                <w:rStyle w:val="Strong"/>
                <w:rFonts w:ascii="Arial" w:hAnsi="Arial" w:cs="Arial"/>
                <w:sz w:val="20"/>
                <w:szCs w:val="20"/>
              </w:rPr>
              <w:t>Contains two Chinese characters "</w:t>
            </w:r>
            <w:r w:rsidRPr="006C28CF">
              <w:rPr>
                <w:rStyle w:val="Strong"/>
                <w:rFonts w:ascii="Arial" w:eastAsia="MS Gothic" w:hAnsi="Arial" w:cs="Arial"/>
                <w:sz w:val="20"/>
                <w:szCs w:val="20"/>
              </w:rPr>
              <w:t>中武</w:t>
            </w:r>
            <w:r w:rsidRPr="006C28CF">
              <w:rPr>
                <w:rStyle w:val="Strong"/>
                <w:rFonts w:ascii="Arial" w:hAnsi="Arial" w:cs="Arial"/>
                <w:sz w:val="20"/>
                <w:szCs w:val="20"/>
              </w:rPr>
              <w:t>"</w:t>
            </w:r>
            <w:r w:rsidRPr="006C28CF">
              <w:rPr>
                <w:rFonts w:ascii="Arial" w:hAnsi="Arial" w:cs="Arial"/>
                <w:sz w:val="20"/>
                <w:szCs w:val="20"/>
              </w:rPr>
              <w:t xml:space="preserve"> (</w:t>
            </w:r>
            <w:r w:rsidRPr="006C28CF">
              <w:rPr>
                <w:rFonts w:ascii="Arial" w:hAnsi="Arial" w:cs="Arial"/>
                <w:i/>
                <w:iCs/>
                <w:sz w:val="20"/>
                <w:szCs w:val="20"/>
              </w:rPr>
              <w:t>Article 74.2(a) of the Intellectual Property Law, as Chinese is not considered a commonly used language in Vietnam</w:t>
            </w:r>
            <w:r w:rsidRPr="006C28CF">
              <w:rPr>
                <w:rFonts w:ascii="Arial" w:hAnsi="Arial" w:cs="Arial"/>
                <w:sz w:val="20"/>
                <w:szCs w:val="20"/>
              </w:rPr>
              <w:t>)</w:t>
            </w:r>
          </w:p>
          <w:p w14:paraId="0CA2E96D" w14:textId="77777777" w:rsidR="006E236C" w:rsidRPr="006C28CF" w:rsidRDefault="006E236C" w:rsidP="00A74C71">
            <w:pPr>
              <w:pStyle w:val="ListParagraph"/>
              <w:ind w:left="1080"/>
              <w:jc w:val="both"/>
              <w:rPr>
                <w:rFonts w:ascii="Arial" w:eastAsia="Times New Roman" w:hAnsi="Arial" w:cs="Arial"/>
                <w:sz w:val="20"/>
                <w:szCs w:val="20"/>
              </w:rPr>
            </w:pPr>
          </w:p>
        </w:tc>
      </w:tr>
      <w:tr w:rsidR="006E236C" w:rsidRPr="006C28CF" w14:paraId="5EC8F5FC" w14:textId="77777777" w:rsidTr="00A74C71">
        <w:tc>
          <w:tcPr>
            <w:tcW w:w="715" w:type="dxa"/>
            <w:vMerge/>
          </w:tcPr>
          <w:p w14:paraId="4CFF7F27" w14:textId="77777777" w:rsidR="006E236C" w:rsidRPr="006C28CF" w:rsidRDefault="006E236C" w:rsidP="00A74C71">
            <w:pPr>
              <w:jc w:val="both"/>
              <w:rPr>
                <w:rFonts w:ascii="Arial" w:eastAsia="Times New Roman" w:hAnsi="Arial" w:cs="Arial"/>
                <w:sz w:val="20"/>
                <w:szCs w:val="20"/>
              </w:rPr>
            </w:pPr>
          </w:p>
        </w:tc>
        <w:tc>
          <w:tcPr>
            <w:tcW w:w="2430" w:type="dxa"/>
            <w:vMerge/>
          </w:tcPr>
          <w:p w14:paraId="00BDCD98" w14:textId="77777777" w:rsidR="006E236C" w:rsidRPr="006C28CF" w:rsidRDefault="006E236C" w:rsidP="00A74C71">
            <w:pPr>
              <w:jc w:val="both"/>
              <w:rPr>
                <w:rFonts w:ascii="Arial" w:eastAsia="Times New Roman" w:hAnsi="Arial" w:cs="Arial"/>
                <w:sz w:val="20"/>
                <w:szCs w:val="20"/>
              </w:rPr>
            </w:pPr>
          </w:p>
        </w:tc>
        <w:tc>
          <w:tcPr>
            <w:tcW w:w="6205" w:type="dxa"/>
          </w:tcPr>
          <w:p w14:paraId="0C84EC35" w14:textId="77777777" w:rsidR="006E236C" w:rsidRPr="006C28CF" w:rsidRDefault="006E236C" w:rsidP="006E236C">
            <w:pPr>
              <w:pStyle w:val="ListParagraph"/>
              <w:numPr>
                <w:ilvl w:val="0"/>
                <w:numId w:val="19"/>
              </w:numPr>
              <w:jc w:val="both"/>
              <w:rPr>
                <w:rFonts w:ascii="Arial" w:eastAsia="Times New Roman" w:hAnsi="Arial" w:cs="Arial"/>
                <w:sz w:val="20"/>
                <w:szCs w:val="20"/>
              </w:rPr>
            </w:pPr>
            <w:r w:rsidRPr="006C28CF">
              <w:rPr>
                <w:rStyle w:val="Strong"/>
                <w:rFonts w:ascii="Arial" w:hAnsi="Arial" w:cs="Arial"/>
                <w:sz w:val="20"/>
                <w:szCs w:val="20"/>
              </w:rPr>
              <w:t xml:space="preserve">Similarity leading to confusion </w:t>
            </w:r>
            <w:r w:rsidRPr="009D4F2A">
              <w:rPr>
                <w:i/>
                <w:iCs/>
              </w:rPr>
              <w:t xml:space="preserve">with </w:t>
            </w:r>
            <w:r w:rsidRPr="009D4F2A">
              <w:rPr>
                <w:rFonts w:ascii="Arial" w:hAnsi="Arial" w:cs="Arial"/>
                <w:i/>
                <w:iCs/>
                <w:sz w:val="20"/>
                <w:szCs w:val="20"/>
              </w:rPr>
              <w:t>a prior registered trademark (</w:t>
            </w:r>
            <w:r w:rsidRPr="006C28CF">
              <w:rPr>
                <w:rFonts w:ascii="Arial" w:hAnsi="Arial" w:cs="Arial"/>
                <w:i/>
                <w:iCs/>
                <w:sz w:val="20"/>
                <w:szCs w:val="20"/>
              </w:rPr>
              <w:t>the "device" element in the applied-for mark is similar to the "device" element in the cited mark under Article 74.2(e)</w:t>
            </w:r>
            <w:r w:rsidRPr="006C28CF">
              <w:rPr>
                <w:rFonts w:ascii="Arial" w:hAnsi="Arial" w:cs="Arial"/>
                <w:sz w:val="20"/>
                <w:szCs w:val="20"/>
              </w:rPr>
              <w:t>)</w:t>
            </w:r>
          </w:p>
          <w:p w14:paraId="62665245" w14:textId="77777777" w:rsidR="006E236C" w:rsidRPr="006C28CF" w:rsidRDefault="006E236C" w:rsidP="00A74C71">
            <w:pPr>
              <w:jc w:val="center"/>
              <w:rPr>
                <w:rFonts w:ascii="Arial" w:eastAsia="Times New Roman" w:hAnsi="Arial" w:cs="Arial"/>
                <w:sz w:val="20"/>
                <w:szCs w:val="20"/>
              </w:rPr>
            </w:pPr>
            <w:r w:rsidRPr="006C28CF">
              <w:rPr>
                <w:rFonts w:ascii="Arial" w:hAnsi="Arial" w:cs="Arial"/>
                <w:noProof/>
                <w:sz w:val="20"/>
                <w:szCs w:val="20"/>
              </w:rPr>
              <w:drawing>
                <wp:inline distT="0" distB="0" distL="0" distR="0" wp14:anchorId="4A56F9B1" wp14:editId="05B5D61E">
                  <wp:extent cx="1135016" cy="1057275"/>
                  <wp:effectExtent l="0" t="0" r="8255" b="0"/>
                  <wp:docPr id="5" name="Picture 5" descr="Description: http://iplib.noip.gov.vn/IPDLIMG/20132/25525182Pictu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http://iplib.noip.gov.vn/IPDLIMG/20132/25525182Pictu001.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2088" t="11905" r="7692" b="7143"/>
                          <a:stretch/>
                        </pic:blipFill>
                        <pic:spPr bwMode="auto">
                          <a:xfrm>
                            <a:off x="0" y="0"/>
                            <a:ext cx="1146969" cy="1068409"/>
                          </a:xfrm>
                          <a:prstGeom prst="rect">
                            <a:avLst/>
                          </a:prstGeom>
                          <a:noFill/>
                          <a:ln>
                            <a:noFill/>
                          </a:ln>
                          <a:extLst>
                            <a:ext uri="{53640926-AAD7-44D8-BBD7-CCE9431645EC}">
                              <a14:shadowObscured xmlns:a14="http://schemas.microsoft.com/office/drawing/2010/main"/>
                            </a:ext>
                          </a:extLst>
                        </pic:spPr>
                      </pic:pic>
                    </a:graphicData>
                  </a:graphic>
                </wp:inline>
              </w:drawing>
            </w:r>
          </w:p>
          <w:p w14:paraId="0A6EFC12" w14:textId="77777777" w:rsidR="006E236C" w:rsidRPr="006C28CF" w:rsidRDefault="006E236C" w:rsidP="00A74C71">
            <w:pPr>
              <w:jc w:val="center"/>
              <w:rPr>
                <w:rFonts w:ascii="Arial" w:eastAsia="Times New Roman" w:hAnsi="Arial" w:cs="Arial"/>
                <w:sz w:val="20"/>
                <w:szCs w:val="20"/>
              </w:rPr>
            </w:pPr>
            <w:r w:rsidRPr="006C28CF">
              <w:rPr>
                <w:rFonts w:ascii="Arial" w:eastAsia="Times New Roman" w:hAnsi="Arial" w:cs="Arial"/>
                <w:sz w:val="20"/>
                <w:szCs w:val="20"/>
              </w:rPr>
              <w:t>(</w:t>
            </w:r>
            <w:r w:rsidRPr="006C28CF">
              <w:rPr>
                <w:rFonts w:ascii="Arial" w:hAnsi="Arial" w:cs="Arial"/>
                <w:sz w:val="20"/>
                <w:szCs w:val="20"/>
              </w:rPr>
              <w:t>for goods "clothing, garments" in Class 25</w:t>
            </w:r>
            <w:r w:rsidRPr="006C28CF">
              <w:rPr>
                <w:rFonts w:ascii="Arial" w:eastAsia="Times New Roman" w:hAnsi="Arial" w:cs="Arial"/>
                <w:sz w:val="20"/>
                <w:szCs w:val="20"/>
              </w:rPr>
              <w:t>)</w:t>
            </w:r>
          </w:p>
        </w:tc>
      </w:tr>
      <w:tr w:rsidR="006E236C" w:rsidRPr="006C28CF" w14:paraId="1975B2D3" w14:textId="77777777" w:rsidTr="00A74C71">
        <w:tc>
          <w:tcPr>
            <w:tcW w:w="715" w:type="dxa"/>
            <w:vMerge/>
          </w:tcPr>
          <w:p w14:paraId="5E91AE45" w14:textId="77777777" w:rsidR="006E236C" w:rsidRPr="006C28CF" w:rsidRDefault="006E236C" w:rsidP="00A74C71">
            <w:pPr>
              <w:jc w:val="both"/>
              <w:rPr>
                <w:rFonts w:ascii="Arial" w:eastAsia="Times New Roman" w:hAnsi="Arial" w:cs="Arial"/>
                <w:sz w:val="20"/>
                <w:szCs w:val="20"/>
              </w:rPr>
            </w:pPr>
          </w:p>
        </w:tc>
        <w:tc>
          <w:tcPr>
            <w:tcW w:w="2430" w:type="dxa"/>
            <w:vMerge/>
          </w:tcPr>
          <w:p w14:paraId="15D77239" w14:textId="77777777" w:rsidR="006E236C" w:rsidRPr="006C28CF" w:rsidRDefault="006E236C" w:rsidP="00A74C71">
            <w:pPr>
              <w:jc w:val="both"/>
              <w:rPr>
                <w:rFonts w:ascii="Arial" w:eastAsia="Times New Roman" w:hAnsi="Arial" w:cs="Arial"/>
                <w:sz w:val="20"/>
                <w:szCs w:val="20"/>
              </w:rPr>
            </w:pPr>
          </w:p>
        </w:tc>
        <w:tc>
          <w:tcPr>
            <w:tcW w:w="6205" w:type="dxa"/>
          </w:tcPr>
          <w:p w14:paraId="0545B06E" w14:textId="77777777" w:rsidR="006E236C" w:rsidRPr="006C28CF" w:rsidRDefault="006E236C" w:rsidP="006E236C">
            <w:pPr>
              <w:pStyle w:val="ListParagraph"/>
              <w:numPr>
                <w:ilvl w:val="0"/>
                <w:numId w:val="19"/>
              </w:numPr>
              <w:jc w:val="both"/>
              <w:rPr>
                <w:rFonts w:ascii="Arial" w:eastAsia="Times New Roman" w:hAnsi="Arial" w:cs="Arial"/>
                <w:sz w:val="20"/>
                <w:szCs w:val="20"/>
              </w:rPr>
            </w:pPr>
            <w:r w:rsidRPr="006C28CF">
              <w:rPr>
                <w:rStyle w:val="Strong"/>
                <w:rFonts w:ascii="Arial" w:hAnsi="Arial" w:cs="Arial"/>
                <w:sz w:val="20"/>
                <w:szCs w:val="20"/>
              </w:rPr>
              <w:t>Similarity leading to confusion with a trademark that has expired but not more than 5 years ago</w:t>
            </w:r>
            <w:r w:rsidRPr="006C28CF">
              <w:rPr>
                <w:rFonts w:ascii="Arial" w:hAnsi="Arial" w:cs="Arial"/>
                <w:sz w:val="20"/>
                <w:szCs w:val="20"/>
              </w:rPr>
              <w:t xml:space="preserve"> (the word element "Zhong" is similar to the word element "ZHONGYU" in the cited mark under Article 74.2(h)</w:t>
            </w:r>
            <w:r w:rsidRPr="006C28CF">
              <w:rPr>
                <w:rFonts w:ascii="Arial" w:eastAsia="Times New Roman" w:hAnsi="Arial" w:cs="Arial"/>
                <w:sz w:val="20"/>
                <w:szCs w:val="20"/>
              </w:rPr>
              <w:t>)</w:t>
            </w:r>
          </w:p>
          <w:p w14:paraId="5D8E1685" w14:textId="77777777" w:rsidR="006E236C" w:rsidRPr="006C28CF" w:rsidRDefault="006E236C" w:rsidP="00A74C71">
            <w:pPr>
              <w:jc w:val="center"/>
              <w:rPr>
                <w:rFonts w:ascii="Arial" w:eastAsia="Times New Roman" w:hAnsi="Arial" w:cs="Arial"/>
                <w:sz w:val="20"/>
                <w:szCs w:val="20"/>
              </w:rPr>
            </w:pPr>
            <w:r w:rsidRPr="006C28CF">
              <w:rPr>
                <w:rFonts w:ascii="Arial" w:hAnsi="Arial" w:cs="Arial"/>
                <w:noProof/>
                <w:sz w:val="20"/>
                <w:szCs w:val="20"/>
              </w:rPr>
              <w:drawing>
                <wp:inline distT="0" distB="0" distL="0" distR="0" wp14:anchorId="2BE3F612" wp14:editId="6363DAB7">
                  <wp:extent cx="1343025" cy="771683"/>
                  <wp:effectExtent l="0" t="0" r="0" b="9525"/>
                  <wp:docPr id="4" name="Picture 4" descr="Description: ZHONGY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ZHONGY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63395" cy="783387"/>
                          </a:xfrm>
                          <a:prstGeom prst="rect">
                            <a:avLst/>
                          </a:prstGeom>
                          <a:noFill/>
                          <a:ln>
                            <a:noFill/>
                          </a:ln>
                        </pic:spPr>
                      </pic:pic>
                    </a:graphicData>
                  </a:graphic>
                </wp:inline>
              </w:drawing>
            </w:r>
          </w:p>
          <w:p w14:paraId="2F02CCC0" w14:textId="77777777" w:rsidR="006E236C" w:rsidRPr="006C28CF" w:rsidRDefault="006E236C" w:rsidP="00A74C71">
            <w:pPr>
              <w:jc w:val="center"/>
              <w:rPr>
                <w:rFonts w:ascii="Arial" w:eastAsia="Times New Roman" w:hAnsi="Arial" w:cs="Arial"/>
                <w:sz w:val="20"/>
                <w:szCs w:val="20"/>
              </w:rPr>
            </w:pPr>
            <w:r w:rsidRPr="006C28CF">
              <w:rPr>
                <w:rFonts w:ascii="Arial" w:eastAsia="Times New Roman" w:hAnsi="Arial" w:cs="Arial"/>
                <w:sz w:val="20"/>
                <w:szCs w:val="20"/>
              </w:rPr>
              <w:t>(</w:t>
            </w:r>
            <w:r w:rsidRPr="006C28CF">
              <w:rPr>
                <w:rFonts w:ascii="Arial" w:hAnsi="Arial" w:cs="Arial"/>
                <w:sz w:val="20"/>
                <w:szCs w:val="20"/>
              </w:rPr>
              <w:t>for goods "clothing, garments" in Class 25</w:t>
            </w:r>
            <w:r w:rsidRPr="006C28CF">
              <w:rPr>
                <w:rFonts w:ascii="Arial" w:eastAsia="Times New Roman" w:hAnsi="Arial" w:cs="Arial"/>
                <w:sz w:val="20"/>
                <w:szCs w:val="20"/>
              </w:rPr>
              <w:t>)</w:t>
            </w:r>
          </w:p>
        </w:tc>
      </w:tr>
    </w:tbl>
    <w:p w14:paraId="535A10A8" w14:textId="77777777" w:rsidR="006E236C" w:rsidRPr="006C28CF" w:rsidRDefault="006E236C" w:rsidP="006E236C">
      <w:pPr>
        <w:spacing w:after="0" w:line="240" w:lineRule="auto"/>
        <w:jc w:val="both"/>
        <w:rPr>
          <w:rFonts w:ascii="Arial" w:eastAsia="Times New Roman" w:hAnsi="Arial" w:cs="Arial"/>
          <w:color w:val="2F5496" w:themeColor="accent1" w:themeShade="BF"/>
          <w:sz w:val="20"/>
          <w:szCs w:val="20"/>
        </w:rPr>
      </w:pPr>
    </w:p>
    <w:p w14:paraId="413DEC3A" w14:textId="77777777" w:rsidR="006E236C" w:rsidRPr="006962E9" w:rsidRDefault="006E236C" w:rsidP="006E236C">
      <w:pPr>
        <w:spacing w:after="0" w:line="240" w:lineRule="auto"/>
        <w:jc w:val="both"/>
        <w:rPr>
          <w:rFonts w:ascii="Arial" w:hAnsi="Arial" w:cs="Arial"/>
          <w:b/>
          <w:bCs/>
          <w:color w:val="2F5496" w:themeColor="accent1" w:themeShade="BF"/>
          <w:lang w:val="es-ES"/>
        </w:rPr>
      </w:pPr>
      <w:r w:rsidRPr="006962E9">
        <w:rPr>
          <w:rFonts w:ascii="Arial" w:hAnsi="Arial" w:cs="Arial"/>
          <w:b/>
          <w:bCs/>
          <w:color w:val="2F5496" w:themeColor="accent1" w:themeShade="BF"/>
          <w:lang w:val="es-ES"/>
        </w:rPr>
        <w:t>Key takeaways</w:t>
      </w:r>
    </w:p>
    <w:p w14:paraId="7F9C35D2" w14:textId="77777777" w:rsidR="006E236C" w:rsidRPr="006C28CF" w:rsidRDefault="006E236C" w:rsidP="006E236C">
      <w:pPr>
        <w:spacing w:after="0" w:line="240" w:lineRule="auto"/>
        <w:jc w:val="both"/>
        <w:rPr>
          <w:rFonts w:ascii="Arial" w:hAnsi="Arial" w:cs="Arial"/>
          <w:b/>
          <w:bCs/>
          <w:color w:val="2F5496" w:themeColor="accent1" w:themeShade="BF"/>
          <w:sz w:val="20"/>
          <w:szCs w:val="20"/>
          <w:lang w:val="es-ES"/>
        </w:rPr>
      </w:pPr>
    </w:p>
    <w:p w14:paraId="26C9C7CE" w14:textId="77777777" w:rsidR="006E236C" w:rsidRPr="006962E9" w:rsidRDefault="006E236C" w:rsidP="006E236C">
      <w:pPr>
        <w:spacing w:after="0" w:line="240" w:lineRule="auto"/>
        <w:jc w:val="both"/>
        <w:rPr>
          <w:rFonts w:ascii="Arial" w:eastAsia="Times New Roman" w:hAnsi="Arial" w:cs="Arial"/>
          <w:b/>
          <w:bCs/>
          <w:color w:val="2F5496" w:themeColor="accent1" w:themeShade="BF"/>
        </w:rPr>
      </w:pPr>
      <w:r w:rsidRPr="006962E9">
        <w:rPr>
          <w:rFonts w:ascii="Arial" w:eastAsia="Times New Roman" w:hAnsi="Arial" w:cs="Arial"/>
          <w:b/>
          <w:bCs/>
          <w:color w:val="2F5496" w:themeColor="accent1" w:themeShade="BF"/>
        </w:rPr>
        <w:t>Developing a Trademark Refusal Appeal Strategy</w:t>
      </w:r>
    </w:p>
    <w:p w14:paraId="2602EFE5" w14:textId="77777777" w:rsidR="006E236C" w:rsidRPr="006C28CF" w:rsidRDefault="006E236C" w:rsidP="006E236C">
      <w:pPr>
        <w:spacing w:after="0" w:line="240" w:lineRule="auto"/>
        <w:jc w:val="both"/>
        <w:rPr>
          <w:rFonts w:ascii="Arial" w:hAnsi="Arial" w:cs="Arial"/>
          <w:sz w:val="20"/>
          <w:szCs w:val="20"/>
          <w:lang w:val="es-ES"/>
        </w:rPr>
      </w:pPr>
    </w:p>
    <w:p w14:paraId="59B9F7A9" w14:textId="77777777" w:rsidR="006E236C" w:rsidRPr="006C28CF" w:rsidRDefault="006E236C" w:rsidP="006E236C">
      <w:pPr>
        <w:spacing w:after="0" w:line="240" w:lineRule="auto"/>
        <w:jc w:val="both"/>
        <w:rPr>
          <w:rFonts w:ascii="Arial" w:hAnsi="Arial" w:cs="Arial"/>
          <w:sz w:val="20"/>
          <w:szCs w:val="20"/>
        </w:rPr>
      </w:pPr>
      <w:r w:rsidRPr="006C28CF">
        <w:rPr>
          <w:rFonts w:ascii="Arial" w:hAnsi="Arial" w:cs="Arial"/>
          <w:sz w:val="20"/>
          <w:szCs w:val="20"/>
        </w:rPr>
        <w:t>When a trademark faces rejection on three grounds, the prospect of a successful appeal may seem daunting. Multiple grounds for refusal undoubtedly diminish the chances of securing protection. However, this does not necessarily signify an insurmountable obstacle. Besides a thorough understanding of the refusal reasons, a well-constructed argument, comprehensive evidence, and experienced IP counsel are crucial for a successful outcome.</w:t>
      </w:r>
    </w:p>
    <w:p w14:paraId="4E5EF592" w14:textId="77777777" w:rsidR="006E236C" w:rsidRDefault="006E236C" w:rsidP="006E236C">
      <w:pPr>
        <w:pStyle w:val="NormalWeb"/>
        <w:spacing w:before="0" w:beforeAutospacing="0" w:after="0" w:afterAutospacing="0"/>
        <w:jc w:val="both"/>
        <w:rPr>
          <w:rStyle w:val="Strong"/>
          <w:rFonts w:ascii="Arial" w:hAnsi="Arial" w:cs="Arial"/>
          <w:color w:val="2F5496" w:themeColor="accent1" w:themeShade="BF"/>
          <w:sz w:val="22"/>
          <w:szCs w:val="22"/>
        </w:rPr>
      </w:pPr>
    </w:p>
    <w:p w14:paraId="2BFFC073" w14:textId="77777777" w:rsidR="006E236C" w:rsidRPr="006962E9" w:rsidRDefault="006E236C" w:rsidP="006E236C">
      <w:pPr>
        <w:pStyle w:val="NormalWeb"/>
        <w:spacing w:before="0" w:beforeAutospacing="0" w:after="0" w:afterAutospacing="0"/>
        <w:jc w:val="both"/>
        <w:rPr>
          <w:rFonts w:ascii="Arial" w:hAnsi="Arial" w:cs="Arial"/>
          <w:color w:val="2F5496" w:themeColor="accent1" w:themeShade="BF"/>
          <w:sz w:val="22"/>
          <w:szCs w:val="22"/>
        </w:rPr>
      </w:pPr>
      <w:r w:rsidRPr="006962E9">
        <w:rPr>
          <w:rStyle w:val="Strong"/>
          <w:rFonts w:ascii="Arial" w:hAnsi="Arial" w:cs="Arial"/>
          <w:color w:val="2F5496" w:themeColor="accent1" w:themeShade="BF"/>
          <w:sz w:val="22"/>
          <w:szCs w:val="22"/>
        </w:rPr>
        <w:t>1</w:t>
      </w:r>
      <w:r>
        <w:rPr>
          <w:rStyle w:val="Strong"/>
          <w:rFonts w:ascii="Arial" w:hAnsi="Arial" w:cs="Arial"/>
          <w:color w:val="2F5496" w:themeColor="accent1" w:themeShade="BF"/>
          <w:sz w:val="22"/>
          <w:szCs w:val="22"/>
        </w:rPr>
        <w:t>.</w:t>
      </w:r>
      <w:r w:rsidRPr="006962E9">
        <w:rPr>
          <w:rStyle w:val="Strong"/>
          <w:rFonts w:ascii="Arial" w:hAnsi="Arial" w:cs="Arial"/>
          <w:color w:val="2F5496" w:themeColor="accent1" w:themeShade="BF"/>
          <w:sz w:val="22"/>
          <w:szCs w:val="22"/>
        </w:rPr>
        <w:t xml:space="preserve"> Understanding the Grounds for Refusal</w:t>
      </w:r>
    </w:p>
    <w:p w14:paraId="0D86D086" w14:textId="77777777" w:rsidR="006E236C" w:rsidRDefault="006E236C" w:rsidP="006E236C">
      <w:pPr>
        <w:pStyle w:val="NormalWeb"/>
        <w:spacing w:before="0" w:beforeAutospacing="0" w:after="0" w:afterAutospacing="0"/>
        <w:jc w:val="both"/>
        <w:rPr>
          <w:rFonts w:ascii="Arial" w:hAnsi="Arial" w:cs="Arial"/>
          <w:sz w:val="20"/>
          <w:szCs w:val="20"/>
        </w:rPr>
      </w:pPr>
    </w:p>
    <w:p w14:paraId="07FA68DE" w14:textId="5EA44935" w:rsidR="006E236C" w:rsidRPr="006C28CF" w:rsidRDefault="006E236C" w:rsidP="006E236C">
      <w:pPr>
        <w:pStyle w:val="NormalWeb"/>
        <w:spacing w:before="0" w:beforeAutospacing="0" w:after="0" w:afterAutospacing="0"/>
        <w:jc w:val="both"/>
        <w:rPr>
          <w:rFonts w:ascii="Arial" w:hAnsi="Arial" w:cs="Arial"/>
          <w:sz w:val="20"/>
          <w:szCs w:val="20"/>
        </w:rPr>
      </w:pPr>
      <w:r w:rsidRPr="006C28CF">
        <w:rPr>
          <w:rFonts w:ascii="Arial" w:hAnsi="Arial" w:cs="Arial"/>
          <w:sz w:val="20"/>
          <w:szCs w:val="20"/>
        </w:rPr>
        <w:t xml:space="preserve">In Vietnam, trademark examination reports tend to be brief, often outlining the legal bases for refusal without detailed analysis. This lack of clarity can hinder applicants seeking to appeal, as the true reasons for refusal may remain obscure. To mount a successful appeal, applicants must therefore deduce the underlying reasons </w:t>
      </w:r>
      <w:r w:rsidRPr="00745E08">
        <w:rPr>
          <w:rFonts w:ascii="Arial" w:hAnsi="Arial" w:cs="Arial"/>
          <w:b/>
          <w:bCs/>
          <w:noProof/>
          <w:color w:val="C00000"/>
          <w:lang w:eastAsia="ko-KR"/>
        </w:rPr>
        <w:lastRenderedPageBreak/>
        <mc:AlternateContent>
          <mc:Choice Requires="wps">
            <w:drawing>
              <wp:anchor distT="0" distB="0" distL="114300" distR="114300" simplePos="0" relativeHeight="251667456" behindDoc="0" locked="0" layoutInCell="1" allowOverlap="1" wp14:anchorId="7A17023E" wp14:editId="7A9312FF">
                <wp:simplePos x="0" y="0"/>
                <wp:positionH relativeFrom="column">
                  <wp:posOffset>6391275</wp:posOffset>
                </wp:positionH>
                <wp:positionV relativeFrom="paragraph">
                  <wp:posOffset>-319405</wp:posOffset>
                </wp:positionV>
                <wp:extent cx="346710" cy="10325735"/>
                <wp:effectExtent l="0" t="0" r="15240" b="18415"/>
                <wp:wrapNone/>
                <wp:docPr id="2" name="Rectangle 2"/>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2737E3" w14:textId="77777777" w:rsidR="006E236C" w:rsidRPr="00BA68B8" w:rsidRDefault="006E236C" w:rsidP="006E236C">
                            <w:pPr>
                              <w:spacing w:after="0" w:line="240" w:lineRule="auto"/>
                              <w:rPr>
                                <w:rFonts w:ascii="Arial" w:hAnsi="Arial" w:cs="Arial"/>
                                <w:b/>
                                <w:color w:val="FFFFFF" w:themeColor="background1"/>
                                <w:sz w:val="20"/>
                                <w:szCs w:val="20"/>
                              </w:rPr>
                            </w:pPr>
                            <w:r w:rsidRPr="006E236C">
                              <w:rPr>
                                <w:rFonts w:ascii="Arial" w:hAnsi="Arial" w:cs="Arial"/>
                                <w:b/>
                                <w:bCs/>
                                <w:color w:val="FFFFFF" w:themeColor="background1"/>
                                <w:sz w:val="20"/>
                                <w:szCs w:val="20"/>
                              </w:rPr>
                              <w:t>Analyzing Trademark Differences in Vietnam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17023E" id="Rectangle 2" o:spid="_x0000_s1028" style="position:absolute;left:0;text-align:left;margin-left:503.25pt;margin-top:-25.15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" fillcolor="#00b39c" strokecolor="#00b39c" strokeweight="0">
                <v:textbox style="layout-flow:vertical">
                  <w:txbxContent>
                    <w:p w14:paraId="5A2737E3" w14:textId="77777777" w:rsidR="006E236C" w:rsidRPr="00BA68B8" w:rsidRDefault="006E236C" w:rsidP="006E236C">
                      <w:pPr>
                        <w:spacing w:after="0" w:line="240" w:lineRule="auto"/>
                        <w:rPr>
                          <w:rFonts w:ascii="Arial" w:hAnsi="Arial" w:cs="Arial"/>
                          <w:b/>
                          <w:color w:val="FFFFFF" w:themeColor="background1"/>
                          <w:sz w:val="20"/>
                          <w:szCs w:val="20"/>
                        </w:rPr>
                      </w:pPr>
                      <w:r w:rsidRPr="006E236C">
                        <w:rPr>
                          <w:rFonts w:ascii="Arial" w:hAnsi="Arial" w:cs="Arial"/>
                          <w:b/>
                          <w:bCs/>
                          <w:color w:val="FFFFFF" w:themeColor="background1"/>
                          <w:sz w:val="20"/>
                          <w:szCs w:val="20"/>
                        </w:rPr>
                        <w:t>Analyzing Trademark Differences in Vietnam</w:t>
                      </w:r>
                    </w:p>
                  </w:txbxContent>
                </v:textbox>
              </v:rect>
            </w:pict>
          </mc:Fallback>
        </mc:AlternateContent>
      </w:r>
      <w:r w:rsidRPr="006C28CF">
        <w:rPr>
          <w:rFonts w:ascii="Arial" w:hAnsi="Arial" w:cs="Arial"/>
          <w:sz w:val="20"/>
          <w:szCs w:val="20"/>
        </w:rPr>
        <w:t xml:space="preserve">for the refusal and gather evidence demonstrating the mark's eligibility for protection. In this case, the examiner </w:t>
      </w:r>
      <w:hyperlink r:id="rId11" w:history="1">
        <w:r w:rsidRPr="001531F8">
          <w:rPr>
            <w:rStyle w:val="Hyperlink"/>
            <w:rFonts w:ascii="Arial" w:hAnsi="Arial" w:cs="Arial"/>
            <w:sz w:val="20"/>
            <w:szCs w:val="20"/>
          </w:rPr>
          <w:t>refused the trademark application</w:t>
        </w:r>
      </w:hyperlink>
      <w:r w:rsidRPr="006C28CF">
        <w:rPr>
          <w:rFonts w:ascii="Arial" w:hAnsi="Arial" w:cs="Arial"/>
          <w:sz w:val="20"/>
          <w:szCs w:val="20"/>
        </w:rPr>
        <w:t xml:space="preserve"> due to its perceived similarity to two cited marks, creating a likelihood of consumer confusion. Specifically:</w:t>
      </w:r>
    </w:p>
    <w:p w14:paraId="2C95CB5D" w14:textId="0A8E0856" w:rsidR="006E236C" w:rsidRPr="006C28CF" w:rsidRDefault="006E236C" w:rsidP="006E236C">
      <w:pPr>
        <w:pStyle w:val="NormalWeb"/>
        <w:spacing w:before="0" w:beforeAutospacing="0" w:after="0" w:afterAutospacing="0"/>
        <w:jc w:val="both"/>
        <w:rPr>
          <w:rFonts w:ascii="Arial" w:hAnsi="Arial" w:cs="Arial"/>
          <w:sz w:val="20"/>
          <w:szCs w:val="20"/>
        </w:rPr>
      </w:pPr>
      <w:r w:rsidRPr="006C28CF">
        <w:rPr>
          <w:rStyle w:val="Strong"/>
          <w:rFonts w:ascii="Arial" w:hAnsi="Arial" w:cs="Arial"/>
          <w:sz w:val="20"/>
          <w:szCs w:val="20"/>
        </w:rPr>
        <w:t>Similarity of the Device:</w:t>
      </w:r>
      <w:r w:rsidRPr="006C28CF">
        <w:rPr>
          <w:rFonts w:ascii="Arial" w:hAnsi="Arial" w:cs="Arial"/>
          <w:sz w:val="20"/>
          <w:szCs w:val="20"/>
        </w:rPr>
        <w:t xml:space="preserve"> The examiner found the device element "</w:t>
      </w:r>
      <w:r w:rsidRPr="006C28CF">
        <w:rPr>
          <w:rFonts w:ascii="Arial" w:hAnsi="Arial" w:cs="Arial"/>
          <w:noProof/>
          <w:sz w:val="20"/>
          <w:szCs w:val="20"/>
          <w:lang w:eastAsia="ko-KR"/>
        </w:rPr>
        <w:drawing>
          <wp:inline distT="0" distB="0" distL="0" distR="0" wp14:anchorId="08CA97F1" wp14:editId="5F33BCE2">
            <wp:extent cx="466160" cy="42771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1857" b="1"/>
                    <a:stretch/>
                  </pic:blipFill>
                  <pic:spPr bwMode="auto">
                    <a:xfrm>
                      <a:off x="0" y="0"/>
                      <a:ext cx="488807" cy="448489"/>
                    </a:xfrm>
                    <a:prstGeom prst="rect">
                      <a:avLst/>
                    </a:prstGeom>
                    <a:ln>
                      <a:noFill/>
                    </a:ln>
                    <a:extLst>
                      <a:ext uri="{53640926-AAD7-44D8-BBD7-CCE9431645EC}">
                        <a14:shadowObscured xmlns:a14="http://schemas.microsoft.com/office/drawing/2010/main"/>
                      </a:ext>
                    </a:extLst>
                  </pic:spPr>
                </pic:pic>
              </a:graphicData>
            </a:graphic>
          </wp:inline>
        </w:drawing>
      </w:r>
      <w:r w:rsidRPr="006C28CF">
        <w:rPr>
          <w:rFonts w:ascii="Arial" w:hAnsi="Arial" w:cs="Arial"/>
          <w:sz w:val="20"/>
          <w:szCs w:val="20"/>
        </w:rPr>
        <w:t>" in the applied-for mark to be similar to the device "</w:t>
      </w:r>
      <w:r w:rsidRPr="006C28CF">
        <w:rPr>
          <w:rFonts w:ascii="Arial" w:hAnsi="Arial" w:cs="Arial"/>
          <w:noProof/>
          <w:sz w:val="20"/>
          <w:szCs w:val="20"/>
          <w:lang w:eastAsia="ko-KR"/>
        </w:rPr>
        <w:drawing>
          <wp:inline distT="0" distB="0" distL="0" distR="0" wp14:anchorId="5EE21D1D" wp14:editId="2383DAC5">
            <wp:extent cx="552450" cy="411519"/>
            <wp:effectExtent l="0" t="0" r="0" b="7620"/>
            <wp:docPr id="1" name="Picture 1" descr="Description: http://iplib.noip.gov.vn/IPDLIMG/20132/25525182Pictu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http://iplib.noip.gov.vn/IPDLIMG/20132/25525182Pictu001.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0842" t="11905" r="13169" b="34843"/>
                    <a:stretch/>
                  </pic:blipFill>
                  <pic:spPr bwMode="auto">
                    <a:xfrm>
                      <a:off x="0" y="0"/>
                      <a:ext cx="567931" cy="423051"/>
                    </a:xfrm>
                    <a:prstGeom prst="rect">
                      <a:avLst/>
                    </a:prstGeom>
                    <a:noFill/>
                    <a:ln>
                      <a:noFill/>
                    </a:ln>
                    <a:extLst>
                      <a:ext uri="{53640926-AAD7-44D8-BBD7-CCE9431645EC}">
                        <a14:shadowObscured xmlns:a14="http://schemas.microsoft.com/office/drawing/2010/main"/>
                      </a:ext>
                    </a:extLst>
                  </pic:spPr>
                </pic:pic>
              </a:graphicData>
            </a:graphic>
          </wp:inline>
        </w:drawing>
      </w:r>
      <w:r w:rsidRPr="006C28CF">
        <w:rPr>
          <w:rFonts w:ascii="Arial" w:hAnsi="Arial" w:cs="Arial"/>
          <w:sz w:val="20"/>
          <w:szCs w:val="20"/>
        </w:rPr>
        <w:t>" in the cited mark. Specifically, both marks employ a stylized "W" with comparable layout and overall shape, potentially leading to consumer confusion, especially at a glance.</w:t>
      </w:r>
    </w:p>
    <w:p w14:paraId="09A789E7" w14:textId="49B961D7" w:rsidR="006E236C" w:rsidRDefault="006E236C" w:rsidP="006E236C">
      <w:pPr>
        <w:pStyle w:val="NormalWeb"/>
        <w:spacing w:before="0" w:beforeAutospacing="0" w:after="0" w:afterAutospacing="0"/>
        <w:jc w:val="both"/>
        <w:rPr>
          <w:rStyle w:val="Strong"/>
          <w:rFonts w:ascii="Arial" w:hAnsi="Arial" w:cs="Arial"/>
          <w:sz w:val="20"/>
          <w:szCs w:val="20"/>
        </w:rPr>
      </w:pPr>
    </w:p>
    <w:p w14:paraId="7B621198" w14:textId="77777777" w:rsidR="006E236C" w:rsidRPr="006C28CF" w:rsidRDefault="006E236C" w:rsidP="006E236C">
      <w:pPr>
        <w:pStyle w:val="NormalWeb"/>
        <w:spacing w:before="0" w:beforeAutospacing="0" w:after="0" w:afterAutospacing="0"/>
        <w:jc w:val="both"/>
        <w:rPr>
          <w:rFonts w:ascii="Arial" w:hAnsi="Arial" w:cs="Arial"/>
          <w:sz w:val="20"/>
          <w:szCs w:val="20"/>
        </w:rPr>
      </w:pPr>
      <w:r w:rsidRPr="006C28CF">
        <w:rPr>
          <w:rStyle w:val="Strong"/>
          <w:rFonts w:ascii="Arial" w:hAnsi="Arial" w:cs="Arial"/>
          <w:sz w:val="20"/>
          <w:szCs w:val="20"/>
        </w:rPr>
        <w:t>Similarity of the "Zhong" Element:</w:t>
      </w:r>
      <w:r w:rsidRPr="006C28CF">
        <w:rPr>
          <w:rFonts w:ascii="Arial" w:hAnsi="Arial" w:cs="Arial"/>
          <w:sz w:val="20"/>
          <w:szCs w:val="20"/>
        </w:rPr>
        <w:t xml:space="preserve"> The examiner also noted a resemblance between the "Zhong" element in the applied-for mark and the "ZHONGYU" element in the cited mark, which had expired but not more than 5 years. This similarity exists in both the phonetic (auditory) and visual aspects of the marks.</w:t>
      </w:r>
    </w:p>
    <w:p w14:paraId="7C49FAA3" w14:textId="71E78E52" w:rsidR="006E236C" w:rsidRDefault="006E236C" w:rsidP="006E236C">
      <w:pPr>
        <w:spacing w:after="0" w:line="240" w:lineRule="auto"/>
        <w:jc w:val="both"/>
        <w:rPr>
          <w:rStyle w:val="Strong"/>
          <w:rFonts w:ascii="Arial" w:hAnsi="Arial" w:cs="Arial"/>
          <w:sz w:val="20"/>
          <w:szCs w:val="20"/>
        </w:rPr>
      </w:pPr>
    </w:p>
    <w:p w14:paraId="3D213A53" w14:textId="370BE6DC" w:rsidR="006E236C" w:rsidRPr="006C28CF" w:rsidRDefault="006E236C" w:rsidP="006E236C">
      <w:pPr>
        <w:spacing w:after="0" w:line="240" w:lineRule="auto"/>
        <w:jc w:val="both"/>
        <w:rPr>
          <w:rFonts w:ascii="Arial" w:hAnsi="Arial" w:cs="Arial"/>
          <w:sz w:val="20"/>
          <w:szCs w:val="20"/>
        </w:rPr>
      </w:pPr>
      <w:r w:rsidRPr="006C28CF">
        <w:rPr>
          <w:rStyle w:val="Strong"/>
          <w:rFonts w:ascii="Arial" w:hAnsi="Arial" w:cs="Arial"/>
          <w:sz w:val="20"/>
          <w:szCs w:val="20"/>
        </w:rPr>
        <w:t>Likelihood of Confusion:</w:t>
      </w:r>
      <w:r w:rsidRPr="006C28CF">
        <w:rPr>
          <w:rFonts w:ascii="Arial" w:hAnsi="Arial" w:cs="Arial"/>
          <w:sz w:val="20"/>
          <w:szCs w:val="20"/>
        </w:rPr>
        <w:t xml:space="preserve"> The examiner asserted that the similarities in both the device and the "Zhong" element could mislead consumers regarding the commercial origin of the goods. Notably, for products in Class 25 (clothing, footwear), consumers often lack the time for careful </w:t>
      </w:r>
      <w:hyperlink r:id="rId14" w:history="1">
        <w:r w:rsidRPr="00FF2945">
          <w:rPr>
            <w:rStyle w:val="Hyperlink"/>
            <w:rFonts w:ascii="Arial" w:hAnsi="Arial" w:cs="Arial"/>
            <w:sz w:val="20"/>
            <w:szCs w:val="20"/>
          </w:rPr>
          <w:t>examination of trademarks</w:t>
        </w:r>
      </w:hyperlink>
      <w:r w:rsidRPr="006C28CF">
        <w:rPr>
          <w:rFonts w:ascii="Arial" w:hAnsi="Arial" w:cs="Arial"/>
          <w:sz w:val="20"/>
          <w:szCs w:val="20"/>
        </w:rPr>
        <w:t>, increasing the risk of confusion.</w:t>
      </w:r>
    </w:p>
    <w:p w14:paraId="3EC7466A" w14:textId="77777777" w:rsidR="006E236C" w:rsidRPr="006C28CF" w:rsidRDefault="006E236C" w:rsidP="006E236C">
      <w:pPr>
        <w:spacing w:after="0" w:line="240" w:lineRule="auto"/>
        <w:jc w:val="both"/>
        <w:rPr>
          <w:rFonts w:ascii="Arial" w:hAnsi="Arial" w:cs="Arial"/>
          <w:b/>
          <w:bCs/>
          <w:sz w:val="20"/>
          <w:szCs w:val="20"/>
        </w:rPr>
      </w:pPr>
    </w:p>
    <w:p w14:paraId="7DE51630" w14:textId="77777777" w:rsidR="006E236C" w:rsidRPr="00852522" w:rsidRDefault="006E236C" w:rsidP="006E236C">
      <w:pPr>
        <w:pStyle w:val="NormalWeb"/>
        <w:spacing w:before="0" w:beforeAutospacing="0" w:after="0" w:afterAutospacing="0"/>
        <w:jc w:val="both"/>
        <w:rPr>
          <w:rStyle w:val="Strong"/>
          <w:color w:val="2F5496" w:themeColor="accent1" w:themeShade="BF"/>
          <w:sz w:val="22"/>
          <w:szCs w:val="22"/>
        </w:rPr>
      </w:pPr>
      <w:r w:rsidRPr="00852522">
        <w:rPr>
          <w:rStyle w:val="Strong"/>
          <w:rFonts w:ascii="Arial" w:hAnsi="Arial" w:cs="Arial"/>
          <w:color w:val="2F5496" w:themeColor="accent1" w:themeShade="BF"/>
          <w:sz w:val="22"/>
          <w:szCs w:val="22"/>
        </w:rPr>
        <w:t>2. Analyzing Differences in the Device Element of Composite Marks: Guiding Principles</w:t>
      </w:r>
    </w:p>
    <w:p w14:paraId="58912CCB" w14:textId="77777777" w:rsidR="006E236C" w:rsidRDefault="006E236C" w:rsidP="006E236C">
      <w:pPr>
        <w:pStyle w:val="NormalWeb"/>
        <w:spacing w:before="0" w:beforeAutospacing="0" w:after="0" w:afterAutospacing="0"/>
        <w:jc w:val="both"/>
        <w:rPr>
          <w:rFonts w:ascii="Arial" w:hAnsi="Arial" w:cs="Arial"/>
          <w:sz w:val="20"/>
          <w:szCs w:val="20"/>
        </w:rPr>
      </w:pPr>
    </w:p>
    <w:p w14:paraId="54703D3D" w14:textId="77777777" w:rsidR="006E236C" w:rsidRDefault="006E236C" w:rsidP="006E236C">
      <w:pPr>
        <w:pStyle w:val="NormalWeb"/>
        <w:spacing w:before="0" w:beforeAutospacing="0" w:after="0" w:afterAutospacing="0"/>
        <w:jc w:val="both"/>
        <w:rPr>
          <w:rFonts w:ascii="Arial" w:hAnsi="Arial" w:cs="Arial"/>
          <w:sz w:val="20"/>
          <w:szCs w:val="20"/>
        </w:rPr>
      </w:pPr>
      <w:r w:rsidRPr="006C28CF">
        <w:rPr>
          <w:rFonts w:ascii="Arial" w:hAnsi="Arial" w:cs="Arial"/>
          <w:sz w:val="20"/>
          <w:szCs w:val="20"/>
        </w:rPr>
        <w:t>Generally, when comparing composite trademarks (those containing both word and device elements), similarity in the device element may be found if the letters or words are identical, share the same position, and the stylistic elements (typeface, font, color) are insufficient to create a significant visual distinction. However, if only some characters or a portion of the words are identical, and the "</w:t>
      </w:r>
      <w:r w:rsidRPr="006C28CF">
        <w:rPr>
          <w:rFonts w:ascii="Arial" w:hAnsi="Arial" w:cs="Arial"/>
          <w:i/>
          <w:iCs/>
          <w:sz w:val="20"/>
          <w:szCs w:val="20"/>
        </w:rPr>
        <w:t>style or other visual elements differ distinctly</w:t>
      </w:r>
      <w:r w:rsidRPr="006C28CF">
        <w:rPr>
          <w:rFonts w:ascii="Arial" w:hAnsi="Arial" w:cs="Arial"/>
          <w:sz w:val="20"/>
          <w:szCs w:val="20"/>
        </w:rPr>
        <w:t>" between the marks, they may be considered visually dissimilar.</w:t>
      </w:r>
    </w:p>
    <w:p w14:paraId="70EA30AA" w14:textId="77777777" w:rsidR="006E236C" w:rsidRPr="006C28CF" w:rsidRDefault="006E236C" w:rsidP="006E236C">
      <w:pPr>
        <w:pStyle w:val="NormalWeb"/>
        <w:spacing w:before="0" w:beforeAutospacing="0" w:after="0" w:afterAutospacing="0"/>
        <w:jc w:val="both"/>
        <w:rPr>
          <w:rFonts w:ascii="Arial" w:hAnsi="Arial" w:cs="Arial"/>
          <w:sz w:val="20"/>
          <w:szCs w:val="20"/>
        </w:rPr>
      </w:pPr>
    </w:p>
    <w:p w14:paraId="6359CBFD" w14:textId="77777777" w:rsidR="006E236C" w:rsidRDefault="006E236C" w:rsidP="006E236C">
      <w:pPr>
        <w:spacing w:after="0" w:line="240" w:lineRule="auto"/>
        <w:jc w:val="both"/>
        <w:rPr>
          <w:rFonts w:ascii="Arial" w:eastAsia="Times New Roman" w:hAnsi="Arial" w:cs="Arial"/>
          <w:sz w:val="20"/>
          <w:szCs w:val="20"/>
        </w:rPr>
      </w:pPr>
      <w:r w:rsidRPr="0040760D">
        <w:rPr>
          <w:rFonts w:ascii="Arial" w:eastAsia="Times New Roman" w:hAnsi="Arial" w:cs="Arial"/>
          <w:sz w:val="20"/>
          <w:szCs w:val="20"/>
        </w:rPr>
        <w:t xml:space="preserve">In this case, there are no </w:t>
      </w:r>
      <w:hyperlink r:id="rId15" w:history="1">
        <w:r w:rsidRPr="0047244B">
          <w:rPr>
            <w:rStyle w:val="Hyperlink"/>
            <w:rFonts w:ascii="Arial" w:eastAsia="Times New Roman" w:hAnsi="Arial" w:cs="Arial"/>
            <w:sz w:val="20"/>
            <w:szCs w:val="20"/>
          </w:rPr>
          <w:t>identical characters</w:t>
        </w:r>
      </w:hyperlink>
      <w:r w:rsidRPr="0040760D">
        <w:rPr>
          <w:rFonts w:ascii="Arial" w:eastAsia="Times New Roman" w:hAnsi="Arial" w:cs="Arial"/>
          <w:sz w:val="20"/>
          <w:szCs w:val="20"/>
        </w:rPr>
        <w:t xml:space="preserve"> or words between the two marks ("Zhong Wu" and "PROSPECS"). While it can be argued that the device elements share some similarity (both being stylized depictions of the letter "W"), the "</w:t>
      </w:r>
      <w:r w:rsidRPr="0040760D">
        <w:rPr>
          <w:rFonts w:ascii="Arial" w:eastAsia="Times New Roman" w:hAnsi="Arial" w:cs="Arial"/>
          <w:i/>
          <w:iCs/>
          <w:sz w:val="20"/>
          <w:szCs w:val="20"/>
        </w:rPr>
        <w:t>style or other visual elements differ distinctly</w:t>
      </w:r>
      <w:r w:rsidRPr="0040760D">
        <w:rPr>
          <w:rFonts w:ascii="Arial" w:eastAsia="Times New Roman" w:hAnsi="Arial" w:cs="Arial"/>
          <w:sz w:val="20"/>
          <w:szCs w:val="20"/>
        </w:rPr>
        <w:t>"</w:t>
      </w:r>
      <w:r w:rsidRPr="006C28CF">
        <w:rPr>
          <w:rFonts w:ascii="Arial" w:eastAsia="Times New Roman" w:hAnsi="Arial" w:cs="Arial"/>
          <w:sz w:val="20"/>
          <w:szCs w:val="20"/>
        </w:rPr>
        <w:t>.</w:t>
      </w:r>
      <w:r w:rsidRPr="0040760D">
        <w:rPr>
          <w:rFonts w:ascii="Arial" w:eastAsia="Times New Roman" w:hAnsi="Arial" w:cs="Arial"/>
          <w:sz w:val="20"/>
          <w:szCs w:val="20"/>
        </w:rPr>
        <w:t xml:space="preserve"> This is a crucial point for the applicant to emphasize in demonstrating the dissimilarity between the marks:</w:t>
      </w:r>
    </w:p>
    <w:p w14:paraId="06F387D9" w14:textId="77777777" w:rsidR="006E236C" w:rsidRPr="0040760D" w:rsidRDefault="006E236C" w:rsidP="006E236C">
      <w:pPr>
        <w:spacing w:after="0" w:line="240" w:lineRule="auto"/>
        <w:jc w:val="both"/>
        <w:rPr>
          <w:rFonts w:ascii="Arial" w:eastAsia="Times New Roman" w:hAnsi="Arial" w:cs="Arial"/>
          <w:sz w:val="20"/>
          <w:szCs w:val="20"/>
        </w:rPr>
      </w:pPr>
    </w:p>
    <w:p w14:paraId="47AF48A1" w14:textId="77777777" w:rsidR="006E236C" w:rsidRPr="0040760D" w:rsidRDefault="006E236C" w:rsidP="006E236C">
      <w:pPr>
        <w:numPr>
          <w:ilvl w:val="0"/>
          <w:numId w:val="20"/>
        </w:numPr>
        <w:tabs>
          <w:tab w:val="clear" w:pos="720"/>
        </w:tabs>
        <w:spacing w:after="0" w:line="240" w:lineRule="auto"/>
        <w:ind w:left="540" w:hanging="540"/>
        <w:jc w:val="both"/>
        <w:rPr>
          <w:rFonts w:ascii="Arial" w:eastAsia="Times New Roman" w:hAnsi="Arial" w:cs="Arial"/>
          <w:sz w:val="20"/>
          <w:szCs w:val="20"/>
        </w:rPr>
      </w:pPr>
      <w:r w:rsidRPr="0040760D">
        <w:rPr>
          <w:rFonts w:ascii="Arial" w:eastAsia="Times New Roman" w:hAnsi="Arial" w:cs="Arial"/>
          <w:b/>
          <w:bCs/>
          <w:sz w:val="20"/>
          <w:szCs w:val="20"/>
        </w:rPr>
        <w:t>Style:</w:t>
      </w:r>
      <w:r w:rsidRPr="0040760D">
        <w:rPr>
          <w:rFonts w:ascii="Arial" w:eastAsia="Times New Roman" w:hAnsi="Arial" w:cs="Arial"/>
          <w:sz w:val="20"/>
          <w:szCs w:val="20"/>
        </w:rPr>
        <w:t xml:space="preserve"> The applied-for mark combines Latin script, Chinese characters, and a stylized device, creating a unique style distinct from the cited mark, which features only Latin script and a device.</w:t>
      </w:r>
    </w:p>
    <w:p w14:paraId="2A821631" w14:textId="77777777" w:rsidR="006E236C" w:rsidRPr="0040760D" w:rsidRDefault="006E236C" w:rsidP="006E236C">
      <w:pPr>
        <w:numPr>
          <w:ilvl w:val="0"/>
          <w:numId w:val="20"/>
        </w:numPr>
        <w:tabs>
          <w:tab w:val="clear" w:pos="720"/>
        </w:tabs>
        <w:spacing w:after="0" w:line="240" w:lineRule="auto"/>
        <w:ind w:left="540" w:hanging="540"/>
        <w:jc w:val="both"/>
        <w:rPr>
          <w:rFonts w:ascii="Arial" w:eastAsia="Times New Roman" w:hAnsi="Arial" w:cs="Arial"/>
          <w:sz w:val="20"/>
          <w:szCs w:val="20"/>
        </w:rPr>
      </w:pPr>
      <w:r w:rsidRPr="0040760D">
        <w:rPr>
          <w:rFonts w:ascii="Arial" w:eastAsia="Times New Roman" w:hAnsi="Arial" w:cs="Arial"/>
          <w:b/>
          <w:bCs/>
          <w:sz w:val="20"/>
          <w:szCs w:val="20"/>
        </w:rPr>
        <w:t>Visual Elements:</w:t>
      </w:r>
      <w:r w:rsidRPr="0040760D">
        <w:rPr>
          <w:rFonts w:ascii="Arial" w:eastAsia="Times New Roman" w:hAnsi="Arial" w:cs="Arial"/>
          <w:sz w:val="20"/>
          <w:szCs w:val="20"/>
        </w:rPr>
        <w:t xml:space="preserve"> A detailed analysis should highlight the clear differences in the strokes, thickness, angles, and composition of the stylized "W" in the two marks.</w:t>
      </w:r>
    </w:p>
    <w:p w14:paraId="5B9A1723" w14:textId="77777777" w:rsidR="006E236C" w:rsidRPr="0040760D" w:rsidRDefault="006E236C" w:rsidP="006E236C">
      <w:pPr>
        <w:numPr>
          <w:ilvl w:val="0"/>
          <w:numId w:val="20"/>
        </w:numPr>
        <w:tabs>
          <w:tab w:val="clear" w:pos="720"/>
        </w:tabs>
        <w:spacing w:after="0" w:line="240" w:lineRule="auto"/>
        <w:ind w:left="540" w:hanging="540"/>
        <w:jc w:val="both"/>
        <w:rPr>
          <w:rFonts w:ascii="Arial" w:eastAsia="Times New Roman" w:hAnsi="Arial" w:cs="Arial"/>
          <w:sz w:val="20"/>
          <w:szCs w:val="20"/>
        </w:rPr>
      </w:pPr>
      <w:r w:rsidRPr="0040760D">
        <w:rPr>
          <w:rFonts w:ascii="Arial" w:eastAsia="Times New Roman" w:hAnsi="Arial" w:cs="Arial"/>
          <w:b/>
          <w:bCs/>
          <w:sz w:val="20"/>
          <w:szCs w:val="20"/>
        </w:rPr>
        <w:t>Font:</w:t>
      </w:r>
      <w:r w:rsidRPr="0040760D">
        <w:rPr>
          <w:rFonts w:ascii="Arial" w:eastAsia="Times New Roman" w:hAnsi="Arial" w:cs="Arial"/>
          <w:sz w:val="20"/>
          <w:szCs w:val="20"/>
        </w:rPr>
        <w:t xml:space="preserve"> Although both marks use a sans-serif typeface, the fonts differ. This distinction should be analyzed to demonstrate its contribution to the overall visual dissimilarity.</w:t>
      </w:r>
    </w:p>
    <w:p w14:paraId="4176828A" w14:textId="77777777" w:rsidR="006E236C" w:rsidRDefault="006E236C" w:rsidP="006E236C">
      <w:pPr>
        <w:pStyle w:val="NormalWeb"/>
        <w:spacing w:before="0" w:beforeAutospacing="0" w:after="0" w:afterAutospacing="0"/>
        <w:jc w:val="both"/>
        <w:rPr>
          <w:rFonts w:ascii="Arial" w:hAnsi="Arial" w:cs="Arial"/>
          <w:b/>
          <w:bCs/>
          <w:sz w:val="20"/>
          <w:szCs w:val="20"/>
        </w:rPr>
      </w:pPr>
    </w:p>
    <w:p w14:paraId="7A7AC664" w14:textId="77777777" w:rsidR="006E236C" w:rsidRDefault="006E236C" w:rsidP="006E236C">
      <w:pPr>
        <w:pStyle w:val="NormalWeb"/>
        <w:spacing w:before="0" w:beforeAutospacing="0" w:after="0" w:afterAutospacing="0"/>
        <w:jc w:val="both"/>
        <w:rPr>
          <w:rFonts w:ascii="Arial" w:hAnsi="Arial" w:cs="Arial"/>
          <w:sz w:val="20"/>
          <w:szCs w:val="20"/>
        </w:rPr>
      </w:pPr>
      <w:r w:rsidRPr="006C28CF">
        <w:rPr>
          <w:rFonts w:ascii="Arial" w:hAnsi="Arial" w:cs="Arial"/>
          <w:b/>
          <w:bCs/>
          <w:sz w:val="20"/>
          <w:szCs w:val="20"/>
        </w:rPr>
        <w:t>This principle is crucial when comparing trademarks to establish distinctiveness</w:t>
      </w:r>
      <w:r w:rsidRPr="006C28CF">
        <w:rPr>
          <w:rFonts w:ascii="Arial" w:hAnsi="Arial" w:cs="Arial"/>
          <w:sz w:val="20"/>
          <w:szCs w:val="20"/>
        </w:rPr>
        <w:t>. It allows applicants to focus on stylistic and visual differences in the device elements to demonstrate overall dissimilarity. Furthermore, such analysis helps</w:t>
      </w:r>
      <w:r w:rsidRPr="006C28CF">
        <w:rPr>
          <w:rFonts w:ascii="Arial" w:hAnsi="Arial" w:cs="Arial"/>
          <w:b/>
          <w:bCs/>
          <w:sz w:val="20"/>
          <w:szCs w:val="20"/>
          <w:u w:val="single"/>
        </w:rPr>
        <w:t xml:space="preserve"> mitigate the impact of any perceived similarities</w:t>
      </w:r>
      <w:r w:rsidRPr="006C28CF">
        <w:rPr>
          <w:rFonts w:ascii="Arial" w:hAnsi="Arial" w:cs="Arial"/>
          <w:sz w:val="20"/>
          <w:szCs w:val="20"/>
        </w:rPr>
        <w:t>. While the device elements may share some resemblance, distinct stylistic and visual differences can minimize the impact of such similarities, persuading the VNIPO that the marks remain distinguishable. By thoroughly exploiting these stylistic and visual distinctions, combined with a holistic assessment of the marks, applicants can strengthen their arguments for dissimilarity and the distinctiveness of the applied-for mark compared to the cited mark.</w:t>
      </w:r>
    </w:p>
    <w:p w14:paraId="5319D77F" w14:textId="77777777" w:rsidR="006E236C" w:rsidRPr="006C28CF" w:rsidRDefault="006E236C" w:rsidP="006E236C">
      <w:pPr>
        <w:pStyle w:val="NormalWeb"/>
        <w:spacing w:before="0" w:beforeAutospacing="0" w:after="0" w:afterAutospacing="0"/>
        <w:jc w:val="both"/>
        <w:rPr>
          <w:rFonts w:ascii="Arial" w:hAnsi="Arial" w:cs="Arial"/>
          <w:sz w:val="20"/>
          <w:szCs w:val="20"/>
        </w:rPr>
      </w:pPr>
    </w:p>
    <w:p w14:paraId="216D1601" w14:textId="77777777" w:rsidR="006E236C" w:rsidRPr="00852522" w:rsidRDefault="006E236C" w:rsidP="006E236C">
      <w:pPr>
        <w:spacing w:after="0" w:line="240" w:lineRule="auto"/>
        <w:jc w:val="both"/>
        <w:rPr>
          <w:rStyle w:val="Strong"/>
          <w:color w:val="2F5496" w:themeColor="accent1" w:themeShade="BF"/>
        </w:rPr>
      </w:pPr>
      <w:r w:rsidRPr="00852522">
        <w:rPr>
          <w:rStyle w:val="Strong"/>
          <w:rFonts w:ascii="Arial" w:eastAsia="Times New Roman" w:hAnsi="Arial" w:cs="Arial"/>
          <w:color w:val="2F5496" w:themeColor="accent1" w:themeShade="BF"/>
        </w:rPr>
        <w:t>3. Analyzing Differences in the Word Element of Composite Marks: Applicable Principles</w:t>
      </w:r>
    </w:p>
    <w:p w14:paraId="70F1E94B" w14:textId="77777777" w:rsidR="006E236C" w:rsidRDefault="006E236C" w:rsidP="006E236C">
      <w:pPr>
        <w:spacing w:after="0" w:line="240" w:lineRule="auto"/>
        <w:jc w:val="both"/>
        <w:rPr>
          <w:rFonts w:ascii="Arial" w:eastAsia="Times New Roman" w:hAnsi="Arial" w:cs="Arial"/>
          <w:sz w:val="20"/>
          <w:szCs w:val="20"/>
        </w:rPr>
      </w:pPr>
    </w:p>
    <w:p w14:paraId="0B8FE6A6" w14:textId="77777777" w:rsidR="006E236C" w:rsidRDefault="006E236C" w:rsidP="006E236C">
      <w:pPr>
        <w:spacing w:after="0" w:line="240" w:lineRule="auto"/>
        <w:jc w:val="both"/>
        <w:rPr>
          <w:rFonts w:ascii="Arial" w:eastAsia="Times New Roman" w:hAnsi="Arial" w:cs="Arial"/>
          <w:sz w:val="20"/>
          <w:szCs w:val="20"/>
        </w:rPr>
      </w:pPr>
      <w:r w:rsidRPr="0040760D">
        <w:rPr>
          <w:rFonts w:ascii="Arial" w:eastAsia="Times New Roman" w:hAnsi="Arial" w:cs="Arial"/>
          <w:sz w:val="20"/>
          <w:szCs w:val="20"/>
        </w:rPr>
        <w:t>Demonstrating dissimilarity in the word element of composite marks requires more in-depth analysis. Typically, the following principles are applied to assess similarity or dissimilarity between word marks:</w:t>
      </w:r>
    </w:p>
    <w:p w14:paraId="2A902049" w14:textId="77777777" w:rsidR="006E236C" w:rsidRPr="0040760D" w:rsidRDefault="006E236C" w:rsidP="006E236C">
      <w:pPr>
        <w:spacing w:after="0" w:line="240" w:lineRule="auto"/>
        <w:jc w:val="both"/>
        <w:rPr>
          <w:rFonts w:ascii="Arial" w:eastAsia="Times New Roman" w:hAnsi="Arial" w:cs="Arial"/>
          <w:sz w:val="20"/>
          <w:szCs w:val="20"/>
        </w:rPr>
      </w:pPr>
    </w:p>
    <w:p w14:paraId="763349E9" w14:textId="77777777" w:rsidR="006E236C" w:rsidRPr="0040760D" w:rsidRDefault="006E236C" w:rsidP="006E236C">
      <w:pPr>
        <w:spacing w:after="0" w:line="240" w:lineRule="auto"/>
        <w:jc w:val="both"/>
        <w:rPr>
          <w:rFonts w:ascii="Arial" w:eastAsia="Times New Roman" w:hAnsi="Arial" w:cs="Arial"/>
          <w:sz w:val="20"/>
          <w:szCs w:val="20"/>
        </w:rPr>
      </w:pPr>
      <w:r w:rsidRPr="0040760D">
        <w:rPr>
          <w:rFonts w:ascii="Arial" w:eastAsia="Times New Roman" w:hAnsi="Arial" w:cs="Arial"/>
          <w:b/>
          <w:bCs/>
          <w:sz w:val="20"/>
          <w:szCs w:val="20"/>
        </w:rPr>
        <w:t xml:space="preserve">(i) Phonetic </w:t>
      </w:r>
      <w:r w:rsidRPr="006C28CF">
        <w:rPr>
          <w:rFonts w:ascii="Arial" w:eastAsia="Times New Roman" w:hAnsi="Arial" w:cs="Arial"/>
          <w:b/>
          <w:bCs/>
          <w:sz w:val="20"/>
          <w:szCs w:val="20"/>
        </w:rPr>
        <w:t>c</w:t>
      </w:r>
      <w:r w:rsidRPr="0040760D">
        <w:rPr>
          <w:rFonts w:ascii="Arial" w:eastAsia="Times New Roman" w:hAnsi="Arial" w:cs="Arial"/>
          <w:b/>
          <w:bCs/>
          <w:sz w:val="20"/>
          <w:szCs w:val="20"/>
        </w:rPr>
        <w:t>omparison:</w:t>
      </w:r>
      <w:r w:rsidRPr="006C28CF">
        <w:rPr>
          <w:rFonts w:ascii="Arial" w:eastAsia="Times New Roman" w:hAnsi="Arial" w:cs="Arial"/>
          <w:b/>
          <w:bCs/>
          <w:sz w:val="20"/>
          <w:szCs w:val="20"/>
        </w:rPr>
        <w:t xml:space="preserve"> </w:t>
      </w:r>
      <w:r w:rsidRPr="0040760D">
        <w:rPr>
          <w:rFonts w:ascii="Arial" w:eastAsia="Times New Roman" w:hAnsi="Arial" w:cs="Arial"/>
          <w:sz w:val="20"/>
          <w:szCs w:val="20"/>
        </w:rPr>
        <w:t>A phonetic comparison of visually perceptible marks can be conducted if they contain one or more pronounceable word elements. This comparison is relevant even if the word element also includes a figurative element or utilizes special characters, lettering, fonts, or colors.</w:t>
      </w:r>
    </w:p>
    <w:p w14:paraId="28A77518" w14:textId="77777777" w:rsidR="006E236C" w:rsidRDefault="006E236C" w:rsidP="006E236C">
      <w:pPr>
        <w:spacing w:after="0" w:line="240" w:lineRule="auto"/>
        <w:jc w:val="both"/>
        <w:rPr>
          <w:rFonts w:ascii="Arial" w:eastAsia="Times New Roman" w:hAnsi="Arial" w:cs="Arial"/>
          <w:b/>
          <w:bCs/>
          <w:sz w:val="20"/>
          <w:szCs w:val="20"/>
        </w:rPr>
      </w:pPr>
    </w:p>
    <w:p w14:paraId="3B43E087" w14:textId="77777777" w:rsidR="006E236C" w:rsidRPr="0040760D" w:rsidRDefault="006E236C" w:rsidP="006E236C">
      <w:pPr>
        <w:spacing w:after="0" w:line="240" w:lineRule="auto"/>
        <w:jc w:val="both"/>
        <w:rPr>
          <w:rFonts w:ascii="Arial" w:eastAsia="Times New Roman" w:hAnsi="Arial" w:cs="Arial"/>
          <w:sz w:val="20"/>
          <w:szCs w:val="20"/>
        </w:rPr>
      </w:pPr>
      <w:r w:rsidRPr="0040760D">
        <w:rPr>
          <w:rFonts w:ascii="Arial" w:eastAsia="Times New Roman" w:hAnsi="Arial" w:cs="Arial"/>
          <w:b/>
          <w:bCs/>
          <w:sz w:val="20"/>
          <w:szCs w:val="20"/>
        </w:rPr>
        <w:t xml:space="preserve">(ii) Consumer </w:t>
      </w:r>
      <w:r w:rsidRPr="006C28CF">
        <w:rPr>
          <w:rFonts w:ascii="Arial" w:eastAsia="Times New Roman" w:hAnsi="Arial" w:cs="Arial"/>
          <w:b/>
          <w:bCs/>
          <w:sz w:val="20"/>
          <w:szCs w:val="20"/>
        </w:rPr>
        <w:t>p</w:t>
      </w:r>
      <w:r w:rsidRPr="0040760D">
        <w:rPr>
          <w:rFonts w:ascii="Arial" w:eastAsia="Times New Roman" w:hAnsi="Arial" w:cs="Arial"/>
          <w:b/>
          <w:bCs/>
          <w:sz w:val="20"/>
          <w:szCs w:val="20"/>
        </w:rPr>
        <w:t>erception:</w:t>
      </w:r>
      <w:r w:rsidRPr="006C28CF">
        <w:rPr>
          <w:rFonts w:ascii="Arial" w:eastAsia="Times New Roman" w:hAnsi="Arial" w:cs="Arial"/>
          <w:b/>
          <w:bCs/>
          <w:sz w:val="20"/>
          <w:szCs w:val="20"/>
        </w:rPr>
        <w:t xml:space="preserve"> </w:t>
      </w:r>
      <w:r w:rsidRPr="0040760D">
        <w:rPr>
          <w:rFonts w:ascii="Arial" w:eastAsia="Times New Roman" w:hAnsi="Arial" w:cs="Arial"/>
          <w:sz w:val="20"/>
          <w:szCs w:val="20"/>
        </w:rPr>
        <w:t xml:space="preserve">Phonetic comparison must be based on the pronunciation patterns of average consumers in the relevant country. </w:t>
      </w:r>
      <w:hyperlink r:id="rId16" w:history="1">
        <w:r w:rsidRPr="00340F90">
          <w:rPr>
            <w:rStyle w:val="Hyperlink"/>
            <w:rFonts w:ascii="Arial" w:eastAsia="Times New Roman" w:hAnsi="Arial" w:cs="Arial"/>
            <w:sz w:val="20"/>
            <w:szCs w:val="20"/>
          </w:rPr>
          <w:t>Foreign words</w:t>
        </w:r>
      </w:hyperlink>
      <w:r w:rsidRPr="0040760D">
        <w:rPr>
          <w:rFonts w:ascii="Arial" w:eastAsia="Times New Roman" w:hAnsi="Arial" w:cs="Arial"/>
          <w:sz w:val="20"/>
          <w:szCs w:val="20"/>
        </w:rPr>
        <w:t xml:space="preserve"> may be pronounced differently in different countries, and the pronunciation in the country of origin is not always relevant.</w:t>
      </w:r>
    </w:p>
    <w:p w14:paraId="36096779" w14:textId="77777777" w:rsidR="006E236C" w:rsidRDefault="006E236C" w:rsidP="006E236C">
      <w:pPr>
        <w:spacing w:after="0" w:line="240" w:lineRule="auto"/>
        <w:jc w:val="both"/>
        <w:rPr>
          <w:rFonts w:ascii="Arial" w:eastAsia="Times New Roman" w:hAnsi="Arial" w:cs="Arial"/>
          <w:b/>
          <w:bCs/>
          <w:sz w:val="20"/>
          <w:szCs w:val="20"/>
        </w:rPr>
      </w:pPr>
    </w:p>
    <w:p w14:paraId="21D34AED" w14:textId="53441128" w:rsidR="006E236C" w:rsidRPr="0040760D" w:rsidRDefault="006E236C" w:rsidP="006E236C">
      <w:pPr>
        <w:spacing w:after="0" w:line="240" w:lineRule="auto"/>
        <w:jc w:val="both"/>
        <w:rPr>
          <w:rFonts w:ascii="Arial" w:eastAsia="Times New Roman" w:hAnsi="Arial" w:cs="Arial"/>
          <w:sz w:val="20"/>
          <w:szCs w:val="20"/>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9504" behindDoc="0" locked="0" layoutInCell="1" allowOverlap="1" wp14:anchorId="0BE964E9" wp14:editId="3A870309">
                <wp:simplePos x="0" y="0"/>
                <wp:positionH relativeFrom="column">
                  <wp:posOffset>6385560</wp:posOffset>
                </wp:positionH>
                <wp:positionV relativeFrom="paragraph">
                  <wp:posOffset>-340995</wp:posOffset>
                </wp:positionV>
                <wp:extent cx="346710" cy="10325735"/>
                <wp:effectExtent l="0" t="0" r="15240" b="18415"/>
                <wp:wrapNone/>
                <wp:docPr id="8" name="Rectangle 8"/>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4CACAE" w14:textId="77777777" w:rsidR="006E236C" w:rsidRPr="00BA68B8" w:rsidRDefault="006E236C" w:rsidP="006E236C">
                            <w:pPr>
                              <w:spacing w:after="0" w:line="240" w:lineRule="auto"/>
                              <w:rPr>
                                <w:rFonts w:ascii="Arial" w:hAnsi="Arial" w:cs="Arial"/>
                                <w:b/>
                                <w:color w:val="FFFFFF" w:themeColor="background1"/>
                                <w:sz w:val="20"/>
                                <w:szCs w:val="20"/>
                              </w:rPr>
                            </w:pPr>
                            <w:r w:rsidRPr="006E236C">
                              <w:rPr>
                                <w:rFonts w:ascii="Arial" w:hAnsi="Arial" w:cs="Arial"/>
                                <w:b/>
                                <w:bCs/>
                                <w:color w:val="FFFFFF" w:themeColor="background1"/>
                                <w:sz w:val="20"/>
                                <w:szCs w:val="20"/>
                              </w:rPr>
                              <w:t>Analyzing Trademark Differences in Vietnam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964E9" id="Rectangle 8" o:spid="_x0000_s1029" style="position:absolute;left:0;text-align:left;margin-left:502.8pt;margin-top:-26.85pt;width:27.3pt;height:81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" fillcolor="#00b39c" strokecolor="#00b39c" strokeweight="0">
                <v:textbox style="layout-flow:vertical">
                  <w:txbxContent>
                    <w:p w14:paraId="774CACAE" w14:textId="77777777" w:rsidR="006E236C" w:rsidRPr="00BA68B8" w:rsidRDefault="006E236C" w:rsidP="006E236C">
                      <w:pPr>
                        <w:spacing w:after="0" w:line="240" w:lineRule="auto"/>
                        <w:rPr>
                          <w:rFonts w:ascii="Arial" w:hAnsi="Arial" w:cs="Arial"/>
                          <w:b/>
                          <w:color w:val="FFFFFF" w:themeColor="background1"/>
                          <w:sz w:val="20"/>
                          <w:szCs w:val="20"/>
                        </w:rPr>
                      </w:pPr>
                      <w:r w:rsidRPr="006E236C">
                        <w:rPr>
                          <w:rFonts w:ascii="Arial" w:hAnsi="Arial" w:cs="Arial"/>
                          <w:b/>
                          <w:bCs/>
                          <w:color w:val="FFFFFF" w:themeColor="background1"/>
                          <w:sz w:val="20"/>
                          <w:szCs w:val="20"/>
                        </w:rPr>
                        <w:t>Analyzing Trademark Differences in Vietnam</w:t>
                      </w:r>
                    </w:p>
                  </w:txbxContent>
                </v:textbox>
              </v:rect>
            </w:pict>
          </mc:Fallback>
        </mc:AlternateContent>
      </w:r>
      <w:r w:rsidRPr="0040760D">
        <w:rPr>
          <w:rFonts w:ascii="Arial" w:eastAsia="Times New Roman" w:hAnsi="Arial" w:cs="Arial"/>
          <w:b/>
          <w:bCs/>
          <w:sz w:val="20"/>
          <w:szCs w:val="20"/>
        </w:rPr>
        <w:t xml:space="preserve"> (iii) Overall </w:t>
      </w:r>
      <w:r w:rsidRPr="006C28CF">
        <w:rPr>
          <w:rFonts w:ascii="Arial" w:eastAsia="Times New Roman" w:hAnsi="Arial" w:cs="Arial"/>
          <w:b/>
          <w:bCs/>
          <w:sz w:val="20"/>
          <w:szCs w:val="20"/>
        </w:rPr>
        <w:t>p</w:t>
      </w:r>
      <w:r w:rsidRPr="0040760D">
        <w:rPr>
          <w:rFonts w:ascii="Arial" w:eastAsia="Times New Roman" w:hAnsi="Arial" w:cs="Arial"/>
          <w:b/>
          <w:bCs/>
          <w:sz w:val="20"/>
          <w:szCs w:val="20"/>
        </w:rPr>
        <w:t xml:space="preserve">honetic </w:t>
      </w:r>
      <w:r w:rsidRPr="006C28CF">
        <w:rPr>
          <w:rFonts w:ascii="Arial" w:eastAsia="Times New Roman" w:hAnsi="Arial" w:cs="Arial"/>
          <w:b/>
          <w:bCs/>
          <w:sz w:val="20"/>
          <w:szCs w:val="20"/>
        </w:rPr>
        <w:t>i</w:t>
      </w:r>
      <w:r w:rsidRPr="0040760D">
        <w:rPr>
          <w:rFonts w:ascii="Arial" w:eastAsia="Times New Roman" w:hAnsi="Arial" w:cs="Arial"/>
          <w:b/>
          <w:bCs/>
          <w:sz w:val="20"/>
          <w:szCs w:val="20"/>
        </w:rPr>
        <w:t>mpression:</w:t>
      </w:r>
      <w:r w:rsidRPr="006C28CF">
        <w:rPr>
          <w:rFonts w:ascii="Arial" w:eastAsia="Times New Roman" w:hAnsi="Arial" w:cs="Arial"/>
          <w:b/>
          <w:bCs/>
          <w:sz w:val="20"/>
          <w:szCs w:val="20"/>
        </w:rPr>
        <w:t xml:space="preserve"> </w:t>
      </w:r>
      <w:r w:rsidRPr="0040760D">
        <w:rPr>
          <w:rFonts w:ascii="Arial" w:eastAsia="Times New Roman" w:hAnsi="Arial" w:cs="Arial"/>
          <w:sz w:val="20"/>
          <w:szCs w:val="20"/>
        </w:rPr>
        <w:t>The overall phonetic impression of a mark containing a word element depends on the number and sequence of syllables, and the pronunciation in a specific country. Phonetic similarity exists if the sounds produced by pronouncing the word elements in the conflicting marks are identical or sufficiently close to be phonetically indistinguishable.</w:t>
      </w:r>
    </w:p>
    <w:p w14:paraId="41EE21E4" w14:textId="77777777" w:rsidR="006E236C" w:rsidRDefault="006E236C" w:rsidP="006E236C">
      <w:pPr>
        <w:spacing w:after="0" w:line="240" w:lineRule="auto"/>
        <w:jc w:val="both"/>
        <w:rPr>
          <w:rFonts w:ascii="Arial" w:eastAsia="Times New Roman" w:hAnsi="Arial" w:cs="Arial"/>
          <w:b/>
          <w:bCs/>
          <w:sz w:val="20"/>
          <w:szCs w:val="20"/>
        </w:rPr>
      </w:pPr>
    </w:p>
    <w:p w14:paraId="6796FFB8" w14:textId="77777777" w:rsidR="006E236C" w:rsidRPr="0040760D" w:rsidRDefault="006E236C" w:rsidP="006E236C">
      <w:pPr>
        <w:spacing w:after="0" w:line="240" w:lineRule="auto"/>
        <w:jc w:val="both"/>
        <w:rPr>
          <w:rFonts w:ascii="Arial" w:eastAsia="Times New Roman" w:hAnsi="Arial" w:cs="Arial"/>
          <w:sz w:val="20"/>
          <w:szCs w:val="20"/>
        </w:rPr>
      </w:pPr>
      <w:r w:rsidRPr="0040760D">
        <w:rPr>
          <w:rFonts w:ascii="Arial" w:eastAsia="Times New Roman" w:hAnsi="Arial" w:cs="Arial"/>
          <w:b/>
          <w:bCs/>
          <w:sz w:val="20"/>
          <w:szCs w:val="20"/>
        </w:rPr>
        <w:t xml:space="preserve">(iv) Phonetic </w:t>
      </w:r>
      <w:r w:rsidRPr="006C28CF">
        <w:rPr>
          <w:rFonts w:ascii="Arial" w:eastAsia="Times New Roman" w:hAnsi="Arial" w:cs="Arial"/>
          <w:b/>
          <w:bCs/>
          <w:sz w:val="20"/>
          <w:szCs w:val="20"/>
        </w:rPr>
        <w:t>v</w:t>
      </w:r>
      <w:r w:rsidRPr="0040760D">
        <w:rPr>
          <w:rFonts w:ascii="Arial" w:eastAsia="Times New Roman" w:hAnsi="Arial" w:cs="Arial"/>
          <w:b/>
          <w:bCs/>
          <w:sz w:val="20"/>
          <w:szCs w:val="20"/>
        </w:rPr>
        <w:t xml:space="preserve">alue of </w:t>
      </w:r>
      <w:r w:rsidRPr="006C28CF">
        <w:rPr>
          <w:rFonts w:ascii="Arial" w:eastAsia="Times New Roman" w:hAnsi="Arial" w:cs="Arial"/>
          <w:b/>
          <w:bCs/>
          <w:sz w:val="20"/>
          <w:szCs w:val="20"/>
        </w:rPr>
        <w:t>f</w:t>
      </w:r>
      <w:r w:rsidRPr="0040760D">
        <w:rPr>
          <w:rFonts w:ascii="Arial" w:eastAsia="Times New Roman" w:hAnsi="Arial" w:cs="Arial"/>
          <w:b/>
          <w:bCs/>
          <w:sz w:val="20"/>
          <w:szCs w:val="20"/>
        </w:rPr>
        <w:t xml:space="preserve">oreign or </w:t>
      </w:r>
      <w:r w:rsidRPr="006C28CF">
        <w:rPr>
          <w:rFonts w:ascii="Arial" w:eastAsia="Times New Roman" w:hAnsi="Arial" w:cs="Arial"/>
          <w:b/>
          <w:bCs/>
          <w:sz w:val="20"/>
          <w:szCs w:val="20"/>
        </w:rPr>
        <w:t>u</w:t>
      </w:r>
      <w:r w:rsidRPr="0040760D">
        <w:rPr>
          <w:rFonts w:ascii="Arial" w:eastAsia="Times New Roman" w:hAnsi="Arial" w:cs="Arial"/>
          <w:b/>
          <w:bCs/>
          <w:sz w:val="20"/>
          <w:szCs w:val="20"/>
        </w:rPr>
        <w:t xml:space="preserve">nfamiliar </w:t>
      </w:r>
      <w:r w:rsidRPr="006C28CF">
        <w:rPr>
          <w:rFonts w:ascii="Arial" w:eastAsia="Times New Roman" w:hAnsi="Arial" w:cs="Arial"/>
          <w:b/>
          <w:bCs/>
          <w:sz w:val="20"/>
          <w:szCs w:val="20"/>
        </w:rPr>
        <w:t>w</w:t>
      </w:r>
      <w:r w:rsidRPr="0040760D">
        <w:rPr>
          <w:rFonts w:ascii="Arial" w:eastAsia="Times New Roman" w:hAnsi="Arial" w:cs="Arial"/>
          <w:b/>
          <w:bCs/>
          <w:sz w:val="20"/>
          <w:szCs w:val="20"/>
        </w:rPr>
        <w:t>ords:</w:t>
      </w:r>
      <w:r w:rsidRPr="006C28CF">
        <w:rPr>
          <w:rFonts w:ascii="Arial" w:eastAsia="Times New Roman" w:hAnsi="Arial" w:cs="Arial"/>
          <w:b/>
          <w:bCs/>
          <w:sz w:val="20"/>
          <w:szCs w:val="20"/>
        </w:rPr>
        <w:t xml:space="preserve"> </w:t>
      </w:r>
      <w:r w:rsidRPr="0040760D">
        <w:rPr>
          <w:rFonts w:ascii="Arial" w:eastAsia="Times New Roman" w:hAnsi="Arial" w:cs="Arial"/>
          <w:sz w:val="20"/>
          <w:szCs w:val="20"/>
        </w:rPr>
        <w:t>The phonetic value of a foreign or unfamiliar word is determined by how the public in the relevant country pronounces it. However, variations in pronunciation may exist within a country due to regional differences or diverse consumer groups.</w:t>
      </w:r>
    </w:p>
    <w:p w14:paraId="26DD1228" w14:textId="77777777" w:rsidR="006E236C" w:rsidRDefault="006E236C" w:rsidP="006E236C">
      <w:pPr>
        <w:spacing w:after="0" w:line="240" w:lineRule="auto"/>
        <w:jc w:val="both"/>
        <w:rPr>
          <w:rFonts w:ascii="Arial" w:eastAsia="Times New Roman" w:hAnsi="Arial" w:cs="Arial"/>
          <w:b/>
          <w:bCs/>
          <w:sz w:val="20"/>
          <w:szCs w:val="20"/>
        </w:rPr>
      </w:pPr>
    </w:p>
    <w:p w14:paraId="0A0E59FB" w14:textId="77777777" w:rsidR="006E236C" w:rsidRPr="0040760D" w:rsidRDefault="006E236C" w:rsidP="006E236C">
      <w:pPr>
        <w:spacing w:after="0" w:line="240" w:lineRule="auto"/>
        <w:jc w:val="both"/>
        <w:rPr>
          <w:rFonts w:ascii="Arial" w:eastAsia="Times New Roman" w:hAnsi="Arial" w:cs="Arial"/>
          <w:sz w:val="20"/>
          <w:szCs w:val="20"/>
        </w:rPr>
      </w:pPr>
      <w:r w:rsidRPr="0040760D">
        <w:rPr>
          <w:rFonts w:ascii="Arial" w:eastAsia="Times New Roman" w:hAnsi="Arial" w:cs="Arial"/>
          <w:b/>
          <w:bCs/>
          <w:sz w:val="20"/>
          <w:szCs w:val="20"/>
        </w:rPr>
        <w:t xml:space="preserve">(v) Priority of </w:t>
      </w:r>
      <w:r w:rsidRPr="006C28CF">
        <w:rPr>
          <w:rFonts w:ascii="Arial" w:eastAsia="Times New Roman" w:hAnsi="Arial" w:cs="Arial"/>
          <w:b/>
          <w:bCs/>
          <w:sz w:val="20"/>
          <w:szCs w:val="20"/>
        </w:rPr>
        <w:t>w</w:t>
      </w:r>
      <w:r w:rsidRPr="0040760D">
        <w:rPr>
          <w:rFonts w:ascii="Arial" w:eastAsia="Times New Roman" w:hAnsi="Arial" w:cs="Arial"/>
          <w:b/>
          <w:bCs/>
          <w:sz w:val="20"/>
          <w:szCs w:val="20"/>
        </w:rPr>
        <w:t xml:space="preserve">ord </w:t>
      </w:r>
      <w:r w:rsidRPr="006C28CF">
        <w:rPr>
          <w:rFonts w:ascii="Arial" w:eastAsia="Times New Roman" w:hAnsi="Arial" w:cs="Arial"/>
          <w:b/>
          <w:bCs/>
          <w:sz w:val="20"/>
          <w:szCs w:val="20"/>
        </w:rPr>
        <w:t>e</w:t>
      </w:r>
      <w:r w:rsidRPr="0040760D">
        <w:rPr>
          <w:rFonts w:ascii="Arial" w:eastAsia="Times New Roman" w:hAnsi="Arial" w:cs="Arial"/>
          <w:b/>
          <w:bCs/>
          <w:sz w:val="20"/>
          <w:szCs w:val="20"/>
        </w:rPr>
        <w:t xml:space="preserve">lements in </w:t>
      </w:r>
      <w:r w:rsidRPr="006C28CF">
        <w:rPr>
          <w:rFonts w:ascii="Arial" w:eastAsia="Times New Roman" w:hAnsi="Arial" w:cs="Arial"/>
          <w:b/>
          <w:bCs/>
          <w:sz w:val="20"/>
          <w:szCs w:val="20"/>
        </w:rPr>
        <w:t>c</w:t>
      </w:r>
      <w:r w:rsidRPr="0040760D">
        <w:rPr>
          <w:rFonts w:ascii="Arial" w:eastAsia="Times New Roman" w:hAnsi="Arial" w:cs="Arial"/>
          <w:b/>
          <w:bCs/>
          <w:sz w:val="20"/>
          <w:szCs w:val="20"/>
        </w:rPr>
        <w:t xml:space="preserve">omposite </w:t>
      </w:r>
      <w:r w:rsidRPr="006C28CF">
        <w:rPr>
          <w:rFonts w:ascii="Arial" w:eastAsia="Times New Roman" w:hAnsi="Arial" w:cs="Arial"/>
          <w:b/>
          <w:bCs/>
          <w:sz w:val="20"/>
          <w:szCs w:val="20"/>
        </w:rPr>
        <w:t>m</w:t>
      </w:r>
      <w:r w:rsidRPr="0040760D">
        <w:rPr>
          <w:rFonts w:ascii="Arial" w:eastAsia="Times New Roman" w:hAnsi="Arial" w:cs="Arial"/>
          <w:b/>
          <w:bCs/>
          <w:sz w:val="20"/>
          <w:szCs w:val="20"/>
        </w:rPr>
        <w:t>arks:</w:t>
      </w:r>
      <w:r w:rsidRPr="006C28CF">
        <w:rPr>
          <w:rFonts w:ascii="Arial" w:eastAsia="Times New Roman" w:hAnsi="Arial" w:cs="Arial"/>
          <w:b/>
          <w:bCs/>
          <w:sz w:val="20"/>
          <w:szCs w:val="20"/>
        </w:rPr>
        <w:t xml:space="preserve"> </w:t>
      </w:r>
      <w:r w:rsidRPr="0040760D">
        <w:rPr>
          <w:rFonts w:ascii="Arial" w:eastAsia="Times New Roman" w:hAnsi="Arial" w:cs="Arial"/>
          <w:sz w:val="20"/>
          <w:szCs w:val="20"/>
        </w:rPr>
        <w:t>When comparing composite marks for phonetic similarity, word elements are generally given greater weight than figurative elements because consumers tend to read and remember words rather than accompanying visual elements. For example, the following composite marks in Indonesia were found to be phonetically similar despite the different images displayed.</w:t>
      </w:r>
    </w:p>
    <w:p w14:paraId="639EB6AB" w14:textId="77777777" w:rsidR="006E236C" w:rsidRDefault="006E236C" w:rsidP="006E236C">
      <w:pPr>
        <w:spacing w:after="0" w:line="240" w:lineRule="auto"/>
        <w:jc w:val="both"/>
        <w:rPr>
          <w:rFonts w:ascii="Arial" w:eastAsia="Times New Roman" w:hAnsi="Arial" w:cs="Arial"/>
          <w:b/>
          <w:bCs/>
          <w:sz w:val="20"/>
          <w:szCs w:val="20"/>
        </w:rPr>
      </w:pPr>
    </w:p>
    <w:p w14:paraId="5AD298B5" w14:textId="77777777" w:rsidR="006E236C" w:rsidRPr="006C28CF" w:rsidRDefault="006E236C" w:rsidP="006E236C">
      <w:pPr>
        <w:spacing w:after="0" w:line="240" w:lineRule="auto"/>
        <w:jc w:val="both"/>
        <w:rPr>
          <w:rFonts w:ascii="Arial" w:eastAsia="Times New Roman" w:hAnsi="Arial" w:cs="Arial"/>
          <w:sz w:val="20"/>
          <w:szCs w:val="20"/>
        </w:rPr>
      </w:pPr>
      <w:r w:rsidRPr="0040760D">
        <w:rPr>
          <w:rFonts w:ascii="Arial" w:eastAsia="Times New Roman" w:hAnsi="Arial" w:cs="Arial"/>
          <w:b/>
          <w:bCs/>
          <w:sz w:val="20"/>
          <w:szCs w:val="20"/>
        </w:rPr>
        <w:t>Regarding principle (i)</w:t>
      </w:r>
      <w:r w:rsidRPr="0040760D">
        <w:rPr>
          <w:rFonts w:ascii="Arial" w:eastAsia="Times New Roman" w:hAnsi="Arial" w:cs="Arial"/>
          <w:sz w:val="20"/>
          <w:szCs w:val="20"/>
        </w:rPr>
        <w:t>:</w:t>
      </w:r>
      <w:r w:rsidRPr="006C28CF">
        <w:rPr>
          <w:rFonts w:ascii="Arial" w:eastAsia="Times New Roman" w:hAnsi="Arial" w:cs="Arial"/>
          <w:sz w:val="20"/>
          <w:szCs w:val="20"/>
        </w:rPr>
        <w:t xml:space="preserve"> </w:t>
      </w:r>
      <w:r w:rsidRPr="0040760D">
        <w:rPr>
          <w:rFonts w:ascii="Arial" w:eastAsia="Times New Roman" w:hAnsi="Arial" w:cs="Arial"/>
          <w:sz w:val="20"/>
          <w:szCs w:val="20"/>
        </w:rPr>
        <w:t>This principle allows for phonetic comparison even if the word element contains figurative components or utilizes unique characters, lettering, fonts, or colors. In this case, although "Zhong Wu" includes Chinese characters and "ZHONGYU" incorporates a stylized figurative element, a phonetic comparison remains permissible.</w:t>
      </w:r>
    </w:p>
    <w:p w14:paraId="5C3948BF" w14:textId="77777777" w:rsidR="006E236C" w:rsidRDefault="006E236C" w:rsidP="006E236C">
      <w:pPr>
        <w:spacing w:after="0" w:line="240" w:lineRule="auto"/>
        <w:jc w:val="both"/>
        <w:rPr>
          <w:rFonts w:ascii="Arial" w:eastAsia="Times New Roman" w:hAnsi="Arial" w:cs="Arial"/>
          <w:b/>
          <w:bCs/>
          <w:sz w:val="20"/>
          <w:szCs w:val="20"/>
        </w:rPr>
      </w:pPr>
    </w:p>
    <w:p w14:paraId="1CA89DEE" w14:textId="77777777" w:rsidR="006E236C" w:rsidRDefault="006E236C" w:rsidP="006E236C">
      <w:pPr>
        <w:spacing w:after="0" w:line="240" w:lineRule="auto"/>
        <w:jc w:val="both"/>
        <w:rPr>
          <w:rFonts w:ascii="Arial" w:eastAsia="Times New Roman" w:hAnsi="Arial" w:cs="Arial"/>
          <w:sz w:val="20"/>
          <w:szCs w:val="20"/>
        </w:rPr>
      </w:pPr>
      <w:r w:rsidRPr="006C28CF">
        <w:rPr>
          <w:rFonts w:ascii="Arial" w:eastAsia="Times New Roman" w:hAnsi="Arial" w:cs="Arial"/>
          <w:b/>
          <w:bCs/>
          <w:sz w:val="20"/>
          <w:szCs w:val="20"/>
        </w:rPr>
        <w:t>Regarding principles (ii) and (iii)</w:t>
      </w:r>
      <w:r w:rsidRPr="006C28CF">
        <w:rPr>
          <w:rFonts w:ascii="Arial" w:eastAsia="Times New Roman" w:hAnsi="Arial" w:cs="Arial"/>
          <w:sz w:val="20"/>
          <w:szCs w:val="20"/>
        </w:rPr>
        <w:t>:</w:t>
      </w:r>
    </w:p>
    <w:p w14:paraId="0BBF8570" w14:textId="77777777" w:rsidR="006E236C" w:rsidRPr="006C28CF" w:rsidRDefault="006E236C" w:rsidP="006E236C">
      <w:pPr>
        <w:spacing w:after="0" w:line="240" w:lineRule="auto"/>
        <w:jc w:val="both"/>
        <w:rPr>
          <w:rFonts w:ascii="Arial" w:eastAsia="Times New Roman" w:hAnsi="Arial" w:cs="Arial"/>
          <w:sz w:val="20"/>
          <w:szCs w:val="20"/>
        </w:rPr>
      </w:pPr>
    </w:p>
    <w:p w14:paraId="4D6EC239" w14:textId="77777777" w:rsidR="006E236C" w:rsidRPr="006C28CF" w:rsidRDefault="006E236C" w:rsidP="006E236C">
      <w:pPr>
        <w:numPr>
          <w:ilvl w:val="0"/>
          <w:numId w:val="21"/>
        </w:numPr>
        <w:tabs>
          <w:tab w:val="clear" w:pos="720"/>
        </w:tabs>
        <w:spacing w:after="0" w:line="240" w:lineRule="auto"/>
        <w:ind w:left="540" w:hanging="540"/>
        <w:jc w:val="both"/>
        <w:rPr>
          <w:rFonts w:ascii="Arial" w:eastAsia="Times New Roman" w:hAnsi="Arial" w:cs="Arial"/>
          <w:sz w:val="20"/>
          <w:szCs w:val="20"/>
        </w:rPr>
      </w:pPr>
      <w:r w:rsidRPr="006C28CF">
        <w:rPr>
          <w:rFonts w:ascii="Arial" w:eastAsia="Times New Roman" w:hAnsi="Arial" w:cs="Arial"/>
          <w:b/>
          <w:bCs/>
          <w:sz w:val="20"/>
          <w:szCs w:val="20"/>
        </w:rPr>
        <w:t>Number and sequence of syllables:</w:t>
      </w:r>
      <w:r w:rsidRPr="006C28CF">
        <w:rPr>
          <w:rFonts w:ascii="Arial" w:eastAsia="Times New Roman" w:hAnsi="Arial" w:cs="Arial"/>
          <w:sz w:val="20"/>
          <w:szCs w:val="20"/>
        </w:rPr>
        <w:t xml:space="preserve"> "Zhong Wu" has two syllables, while "ZHONGYU" has three. The sequence of syllables also differs.</w:t>
      </w:r>
    </w:p>
    <w:p w14:paraId="2D1DE8D0" w14:textId="77777777" w:rsidR="006E236C" w:rsidRPr="006C28CF" w:rsidRDefault="006E236C" w:rsidP="006E236C">
      <w:pPr>
        <w:numPr>
          <w:ilvl w:val="0"/>
          <w:numId w:val="21"/>
        </w:numPr>
        <w:tabs>
          <w:tab w:val="clear" w:pos="720"/>
        </w:tabs>
        <w:spacing w:after="0" w:line="240" w:lineRule="auto"/>
        <w:ind w:left="540" w:hanging="540"/>
        <w:jc w:val="both"/>
        <w:rPr>
          <w:rFonts w:ascii="Arial" w:eastAsia="Times New Roman" w:hAnsi="Arial" w:cs="Arial"/>
          <w:sz w:val="20"/>
          <w:szCs w:val="20"/>
        </w:rPr>
      </w:pPr>
      <w:r w:rsidRPr="006C28CF">
        <w:rPr>
          <w:rFonts w:ascii="Arial" w:eastAsia="Times New Roman" w:hAnsi="Arial" w:cs="Arial"/>
          <w:b/>
          <w:bCs/>
          <w:sz w:val="20"/>
          <w:szCs w:val="20"/>
        </w:rPr>
        <w:t>Rhythm:</w:t>
      </w:r>
      <w:r w:rsidRPr="006C28CF">
        <w:rPr>
          <w:rFonts w:ascii="Arial" w:eastAsia="Times New Roman" w:hAnsi="Arial" w:cs="Arial"/>
          <w:sz w:val="20"/>
          <w:szCs w:val="20"/>
        </w:rPr>
        <w:t xml:space="preserve"> The rhythmic patterns of the two words are distinct when pronounced. "Zhong Wu" follows a 2/2 rhythm, whereas "ZHONGYU" has a 3/2 rhythm.</w:t>
      </w:r>
    </w:p>
    <w:p w14:paraId="6F7940D0" w14:textId="77777777" w:rsidR="006E236C" w:rsidRPr="006C28CF" w:rsidRDefault="006E236C" w:rsidP="006E236C">
      <w:pPr>
        <w:numPr>
          <w:ilvl w:val="0"/>
          <w:numId w:val="21"/>
        </w:numPr>
        <w:tabs>
          <w:tab w:val="clear" w:pos="720"/>
        </w:tabs>
        <w:spacing w:after="0" w:line="240" w:lineRule="auto"/>
        <w:ind w:left="540" w:hanging="540"/>
        <w:jc w:val="both"/>
        <w:rPr>
          <w:rFonts w:ascii="Arial" w:eastAsia="Times New Roman" w:hAnsi="Arial" w:cs="Arial"/>
          <w:sz w:val="20"/>
          <w:szCs w:val="20"/>
        </w:rPr>
      </w:pPr>
      <w:r w:rsidRPr="006C28CF">
        <w:rPr>
          <w:rFonts w:ascii="Arial" w:eastAsia="Times New Roman" w:hAnsi="Arial" w:cs="Arial"/>
          <w:b/>
          <w:bCs/>
          <w:sz w:val="20"/>
          <w:szCs w:val="20"/>
        </w:rPr>
        <w:t>Application of principle (ii):</w:t>
      </w:r>
      <w:r w:rsidRPr="006C28CF">
        <w:rPr>
          <w:rFonts w:ascii="Arial" w:eastAsia="Times New Roman" w:hAnsi="Arial" w:cs="Arial"/>
          <w:sz w:val="20"/>
          <w:szCs w:val="20"/>
        </w:rPr>
        <w:t xml:space="preserve"> Analyze how Vietnamese consumers pronounce these words. It is possible that Vietnamese pronunciation of "ZHONGYU" will deviate from the Chinese pronunciation, creating a more pronounced phonetic difference.</w:t>
      </w:r>
    </w:p>
    <w:p w14:paraId="19B84FD2" w14:textId="77777777" w:rsidR="006E236C" w:rsidRDefault="006E236C" w:rsidP="006E236C">
      <w:pPr>
        <w:spacing w:after="0" w:line="240" w:lineRule="auto"/>
        <w:jc w:val="both"/>
        <w:rPr>
          <w:rFonts w:ascii="Arial" w:eastAsia="Times New Roman" w:hAnsi="Arial" w:cs="Arial"/>
          <w:b/>
          <w:bCs/>
          <w:sz w:val="20"/>
          <w:szCs w:val="20"/>
        </w:rPr>
      </w:pPr>
    </w:p>
    <w:p w14:paraId="4EDAE043" w14:textId="77777777" w:rsidR="006E236C" w:rsidRDefault="006E236C" w:rsidP="006E236C">
      <w:pPr>
        <w:spacing w:after="0" w:line="240" w:lineRule="auto"/>
        <w:jc w:val="both"/>
        <w:rPr>
          <w:rFonts w:ascii="Arial" w:eastAsia="Times New Roman" w:hAnsi="Arial" w:cs="Arial"/>
          <w:sz w:val="20"/>
          <w:szCs w:val="20"/>
        </w:rPr>
      </w:pPr>
      <w:r w:rsidRPr="006C28CF">
        <w:rPr>
          <w:rFonts w:ascii="Arial" w:eastAsia="Times New Roman" w:hAnsi="Arial" w:cs="Arial"/>
          <w:b/>
          <w:bCs/>
          <w:sz w:val="20"/>
          <w:szCs w:val="20"/>
        </w:rPr>
        <w:t>Regarding principle (iv)</w:t>
      </w:r>
      <w:r w:rsidRPr="006C28CF">
        <w:rPr>
          <w:rFonts w:ascii="Arial" w:eastAsia="Times New Roman" w:hAnsi="Arial" w:cs="Arial"/>
          <w:sz w:val="20"/>
          <w:szCs w:val="20"/>
        </w:rPr>
        <w:t>:</w:t>
      </w:r>
    </w:p>
    <w:p w14:paraId="3DDA544A" w14:textId="77777777" w:rsidR="006E236C" w:rsidRPr="006C28CF" w:rsidRDefault="006E236C" w:rsidP="006E236C">
      <w:pPr>
        <w:spacing w:after="0" w:line="240" w:lineRule="auto"/>
        <w:jc w:val="both"/>
        <w:rPr>
          <w:rFonts w:ascii="Arial" w:eastAsia="Times New Roman" w:hAnsi="Arial" w:cs="Arial"/>
          <w:sz w:val="20"/>
          <w:szCs w:val="20"/>
        </w:rPr>
      </w:pPr>
    </w:p>
    <w:p w14:paraId="7BE06E93" w14:textId="77777777" w:rsidR="006E236C" w:rsidRPr="006C28CF" w:rsidRDefault="006E236C" w:rsidP="006E236C">
      <w:pPr>
        <w:numPr>
          <w:ilvl w:val="0"/>
          <w:numId w:val="22"/>
        </w:numPr>
        <w:tabs>
          <w:tab w:val="clear" w:pos="720"/>
        </w:tabs>
        <w:spacing w:after="0" w:line="240" w:lineRule="auto"/>
        <w:ind w:left="540" w:hanging="540"/>
        <w:jc w:val="both"/>
        <w:rPr>
          <w:rFonts w:ascii="Arial" w:eastAsia="Times New Roman" w:hAnsi="Arial" w:cs="Arial"/>
          <w:sz w:val="20"/>
          <w:szCs w:val="20"/>
        </w:rPr>
      </w:pPr>
      <w:r w:rsidRPr="006C28CF">
        <w:rPr>
          <w:rFonts w:ascii="Arial" w:eastAsia="Times New Roman" w:hAnsi="Arial" w:cs="Arial"/>
          <w:b/>
          <w:bCs/>
          <w:sz w:val="20"/>
          <w:szCs w:val="20"/>
        </w:rPr>
        <w:t>Phonetic value:</w:t>
      </w:r>
      <w:r w:rsidRPr="006C28CF">
        <w:rPr>
          <w:rFonts w:ascii="Arial" w:eastAsia="Times New Roman" w:hAnsi="Arial" w:cs="Arial"/>
          <w:sz w:val="20"/>
          <w:szCs w:val="20"/>
        </w:rPr>
        <w:t xml:space="preserve"> Consider how Vietnamese consumers pronounce "Zhong Wu" and "ZHONGYU."</w:t>
      </w:r>
    </w:p>
    <w:p w14:paraId="6BFEF97B" w14:textId="77777777" w:rsidR="006E236C" w:rsidRPr="006C28CF" w:rsidRDefault="006E236C" w:rsidP="006E236C">
      <w:pPr>
        <w:numPr>
          <w:ilvl w:val="0"/>
          <w:numId w:val="22"/>
        </w:numPr>
        <w:tabs>
          <w:tab w:val="clear" w:pos="720"/>
        </w:tabs>
        <w:spacing w:after="0" w:line="240" w:lineRule="auto"/>
        <w:ind w:left="540" w:hanging="540"/>
        <w:jc w:val="both"/>
        <w:rPr>
          <w:rFonts w:ascii="Arial" w:eastAsia="Times New Roman" w:hAnsi="Arial" w:cs="Arial"/>
          <w:sz w:val="20"/>
          <w:szCs w:val="20"/>
        </w:rPr>
      </w:pPr>
      <w:r w:rsidRPr="006C28CF">
        <w:rPr>
          <w:rFonts w:ascii="Arial" w:eastAsia="Times New Roman" w:hAnsi="Arial" w:cs="Arial"/>
          <w:b/>
          <w:bCs/>
          <w:sz w:val="20"/>
          <w:szCs w:val="20"/>
        </w:rPr>
        <w:t>Foreign ưord:</w:t>
      </w:r>
      <w:r w:rsidRPr="006C28CF">
        <w:rPr>
          <w:rFonts w:ascii="Arial" w:eastAsia="Times New Roman" w:hAnsi="Arial" w:cs="Arial"/>
          <w:sz w:val="20"/>
          <w:szCs w:val="20"/>
        </w:rPr>
        <w:t xml:space="preserve"> As "Zhong Wu" is a Chinese term, consider both its Chinese pronunciation and how Vietnamese consumers pronounce it.</w:t>
      </w:r>
    </w:p>
    <w:p w14:paraId="2FB5DC18" w14:textId="77777777" w:rsidR="006E236C" w:rsidRDefault="006E236C" w:rsidP="006E236C">
      <w:pPr>
        <w:spacing w:after="0" w:line="240" w:lineRule="auto"/>
        <w:jc w:val="both"/>
        <w:rPr>
          <w:rFonts w:ascii="Arial" w:eastAsia="Times New Roman" w:hAnsi="Arial" w:cs="Arial"/>
          <w:b/>
          <w:bCs/>
          <w:sz w:val="20"/>
          <w:szCs w:val="20"/>
        </w:rPr>
      </w:pPr>
    </w:p>
    <w:p w14:paraId="6EC95AA9" w14:textId="77777777" w:rsidR="006E236C" w:rsidRDefault="006E236C" w:rsidP="006E236C">
      <w:pPr>
        <w:spacing w:after="0" w:line="240" w:lineRule="auto"/>
        <w:jc w:val="both"/>
        <w:rPr>
          <w:rFonts w:ascii="Arial" w:eastAsia="Times New Roman" w:hAnsi="Arial" w:cs="Arial"/>
          <w:b/>
          <w:bCs/>
          <w:sz w:val="20"/>
          <w:szCs w:val="20"/>
        </w:rPr>
      </w:pPr>
      <w:r w:rsidRPr="006C28CF">
        <w:rPr>
          <w:rFonts w:ascii="Arial" w:eastAsia="Times New Roman" w:hAnsi="Arial" w:cs="Arial"/>
          <w:b/>
          <w:bCs/>
          <w:sz w:val="20"/>
          <w:szCs w:val="20"/>
        </w:rPr>
        <w:t>Regarding principle (v):</w:t>
      </w:r>
    </w:p>
    <w:p w14:paraId="3DA7EC59" w14:textId="77777777" w:rsidR="006E236C" w:rsidRPr="006C28CF" w:rsidRDefault="006E236C" w:rsidP="006E236C">
      <w:pPr>
        <w:spacing w:after="0" w:line="240" w:lineRule="auto"/>
        <w:jc w:val="both"/>
        <w:rPr>
          <w:rFonts w:ascii="Arial" w:eastAsia="Times New Roman" w:hAnsi="Arial" w:cs="Arial"/>
          <w:b/>
          <w:bCs/>
          <w:sz w:val="20"/>
          <w:szCs w:val="20"/>
        </w:rPr>
      </w:pPr>
    </w:p>
    <w:p w14:paraId="6E22DBFC" w14:textId="77777777" w:rsidR="006E236C" w:rsidRPr="006C28CF" w:rsidRDefault="006E236C" w:rsidP="006E236C">
      <w:pPr>
        <w:numPr>
          <w:ilvl w:val="0"/>
          <w:numId w:val="23"/>
        </w:numPr>
        <w:tabs>
          <w:tab w:val="clear" w:pos="720"/>
        </w:tabs>
        <w:spacing w:after="0" w:line="240" w:lineRule="auto"/>
        <w:ind w:left="540" w:hanging="540"/>
        <w:jc w:val="both"/>
        <w:rPr>
          <w:rFonts w:ascii="Arial" w:eastAsia="Times New Roman" w:hAnsi="Arial" w:cs="Arial"/>
          <w:sz w:val="20"/>
          <w:szCs w:val="20"/>
        </w:rPr>
      </w:pPr>
      <w:r w:rsidRPr="006C28CF">
        <w:rPr>
          <w:rFonts w:ascii="Arial" w:eastAsia="Times New Roman" w:hAnsi="Arial" w:cs="Arial"/>
          <w:b/>
          <w:bCs/>
          <w:sz w:val="20"/>
          <w:szCs w:val="20"/>
        </w:rPr>
        <w:t>Emphasis on word elements:</w:t>
      </w:r>
      <w:r w:rsidRPr="006C28CF">
        <w:rPr>
          <w:rFonts w:ascii="Arial" w:eastAsia="Times New Roman" w:hAnsi="Arial" w:cs="Arial"/>
          <w:sz w:val="20"/>
          <w:szCs w:val="20"/>
        </w:rPr>
        <w:t xml:space="preserve"> In this case, the </w:t>
      </w:r>
      <w:hyperlink r:id="rId17" w:history="1">
        <w:r w:rsidRPr="0023357B">
          <w:rPr>
            <w:rStyle w:val="Hyperlink"/>
            <w:rFonts w:ascii="Arial" w:eastAsia="Times New Roman" w:hAnsi="Arial" w:cs="Arial"/>
            <w:sz w:val="20"/>
            <w:szCs w:val="20"/>
          </w:rPr>
          <w:t>word elements</w:t>
        </w:r>
      </w:hyperlink>
      <w:r w:rsidRPr="006C28CF">
        <w:rPr>
          <w:rFonts w:ascii="Arial" w:eastAsia="Times New Roman" w:hAnsi="Arial" w:cs="Arial"/>
          <w:sz w:val="20"/>
          <w:szCs w:val="20"/>
        </w:rPr>
        <w:t xml:space="preserve"> "Zhong Wu" and "ZHONGYU" are prominent and more likely to attract consumer attention than the figurative elements. Therefore, consumers will readily perceive the phonetic differences between these word elements.</w:t>
      </w:r>
    </w:p>
    <w:p w14:paraId="4A5E4197" w14:textId="77777777" w:rsidR="006E236C" w:rsidRDefault="006E236C" w:rsidP="006E236C">
      <w:pPr>
        <w:spacing w:after="0" w:line="240" w:lineRule="auto"/>
        <w:jc w:val="both"/>
        <w:rPr>
          <w:rFonts w:ascii="Arial" w:eastAsia="Times New Roman" w:hAnsi="Arial" w:cs="Arial"/>
          <w:sz w:val="20"/>
          <w:szCs w:val="20"/>
        </w:rPr>
      </w:pPr>
    </w:p>
    <w:p w14:paraId="1D071F31" w14:textId="77777777" w:rsidR="006E236C" w:rsidRDefault="006E236C" w:rsidP="006E236C">
      <w:pPr>
        <w:spacing w:after="0" w:line="240" w:lineRule="auto"/>
        <w:jc w:val="both"/>
        <w:rPr>
          <w:rFonts w:ascii="Arial" w:eastAsia="Times New Roman" w:hAnsi="Arial" w:cs="Arial"/>
          <w:sz w:val="20"/>
          <w:szCs w:val="20"/>
        </w:rPr>
      </w:pPr>
      <w:r w:rsidRPr="006C28CF">
        <w:rPr>
          <w:rFonts w:ascii="Arial" w:eastAsia="Times New Roman" w:hAnsi="Arial" w:cs="Arial"/>
          <w:sz w:val="20"/>
          <w:szCs w:val="20"/>
        </w:rPr>
        <w:t>By applying these principles, the applicant can construct a compelling argument to demonstrate the phonetic dissimilarity between the two trademarks:</w:t>
      </w:r>
    </w:p>
    <w:p w14:paraId="35444C67" w14:textId="77777777" w:rsidR="006E236C" w:rsidRPr="006C28CF" w:rsidRDefault="006E236C" w:rsidP="006E236C">
      <w:pPr>
        <w:spacing w:after="0" w:line="240" w:lineRule="auto"/>
        <w:jc w:val="both"/>
        <w:rPr>
          <w:rFonts w:ascii="Arial" w:eastAsia="Times New Roman" w:hAnsi="Arial" w:cs="Arial"/>
          <w:sz w:val="20"/>
          <w:szCs w:val="20"/>
        </w:rPr>
      </w:pPr>
    </w:p>
    <w:p w14:paraId="1833EEB3" w14:textId="77777777" w:rsidR="006E236C" w:rsidRPr="006C28CF" w:rsidRDefault="006E236C" w:rsidP="006E236C">
      <w:pPr>
        <w:numPr>
          <w:ilvl w:val="0"/>
          <w:numId w:val="24"/>
        </w:numPr>
        <w:tabs>
          <w:tab w:val="clear" w:pos="720"/>
        </w:tabs>
        <w:spacing w:after="0" w:line="240" w:lineRule="auto"/>
        <w:ind w:left="540" w:hanging="540"/>
        <w:jc w:val="both"/>
        <w:rPr>
          <w:rFonts w:ascii="Arial" w:eastAsia="Times New Roman" w:hAnsi="Arial" w:cs="Arial"/>
          <w:sz w:val="20"/>
          <w:szCs w:val="20"/>
        </w:rPr>
      </w:pPr>
      <w:r w:rsidRPr="006C28CF">
        <w:rPr>
          <w:rFonts w:ascii="Arial" w:eastAsia="Times New Roman" w:hAnsi="Arial" w:cs="Arial"/>
          <w:b/>
          <w:bCs/>
          <w:sz w:val="20"/>
          <w:szCs w:val="20"/>
        </w:rPr>
        <w:t>Detailed analysis:</w:t>
      </w:r>
      <w:r w:rsidRPr="006C28CF">
        <w:rPr>
          <w:rFonts w:ascii="Arial" w:eastAsia="Times New Roman" w:hAnsi="Arial" w:cs="Arial"/>
          <w:sz w:val="20"/>
          <w:szCs w:val="20"/>
        </w:rPr>
        <w:t xml:space="preserve"> Compare the number of syllables, syllable sequence, rhythm, and pronunciation of the two words.</w:t>
      </w:r>
    </w:p>
    <w:p w14:paraId="1B59165B" w14:textId="77777777" w:rsidR="006E236C" w:rsidRPr="006C28CF" w:rsidRDefault="006E236C" w:rsidP="006E236C">
      <w:pPr>
        <w:numPr>
          <w:ilvl w:val="0"/>
          <w:numId w:val="24"/>
        </w:numPr>
        <w:tabs>
          <w:tab w:val="clear" w:pos="720"/>
        </w:tabs>
        <w:spacing w:after="0" w:line="240" w:lineRule="auto"/>
        <w:ind w:left="540" w:hanging="540"/>
        <w:jc w:val="both"/>
        <w:rPr>
          <w:rFonts w:ascii="Arial" w:eastAsia="Times New Roman" w:hAnsi="Arial" w:cs="Arial"/>
          <w:sz w:val="20"/>
          <w:szCs w:val="20"/>
        </w:rPr>
      </w:pPr>
      <w:r w:rsidRPr="006C28CF">
        <w:rPr>
          <w:rFonts w:ascii="Arial" w:eastAsia="Times New Roman" w:hAnsi="Arial" w:cs="Arial"/>
          <w:b/>
          <w:bCs/>
          <w:sz w:val="20"/>
          <w:szCs w:val="20"/>
        </w:rPr>
        <w:t>Emphasize distinctions:</w:t>
      </w:r>
      <w:r w:rsidRPr="006C28CF">
        <w:rPr>
          <w:rFonts w:ascii="Arial" w:eastAsia="Times New Roman" w:hAnsi="Arial" w:cs="Arial"/>
          <w:sz w:val="20"/>
          <w:szCs w:val="20"/>
        </w:rPr>
        <w:t xml:space="preserve"> Highlight that the phonetic differences are sufficient for consumers to distinguish the marks.</w:t>
      </w:r>
    </w:p>
    <w:p w14:paraId="43BB65EB" w14:textId="77777777" w:rsidR="006E236C" w:rsidRPr="006C28CF" w:rsidRDefault="006E236C" w:rsidP="006E236C">
      <w:pPr>
        <w:numPr>
          <w:ilvl w:val="0"/>
          <w:numId w:val="24"/>
        </w:numPr>
        <w:tabs>
          <w:tab w:val="clear" w:pos="720"/>
        </w:tabs>
        <w:spacing w:after="0" w:line="240" w:lineRule="auto"/>
        <w:ind w:left="540" w:hanging="540"/>
        <w:jc w:val="both"/>
        <w:rPr>
          <w:rFonts w:ascii="Arial" w:eastAsia="Times New Roman" w:hAnsi="Arial" w:cs="Arial"/>
          <w:sz w:val="20"/>
          <w:szCs w:val="20"/>
        </w:rPr>
      </w:pPr>
      <w:r w:rsidRPr="006C28CF">
        <w:rPr>
          <w:rFonts w:ascii="Arial" w:eastAsia="Times New Roman" w:hAnsi="Arial" w:cs="Arial"/>
          <w:b/>
          <w:bCs/>
          <w:sz w:val="20"/>
          <w:szCs w:val="20"/>
        </w:rPr>
        <w:t>Integrate with other factors:</w:t>
      </w:r>
      <w:r w:rsidRPr="006C28CF">
        <w:rPr>
          <w:rFonts w:ascii="Arial" w:eastAsia="Times New Roman" w:hAnsi="Arial" w:cs="Arial"/>
          <w:sz w:val="20"/>
          <w:szCs w:val="20"/>
        </w:rPr>
        <w:t xml:space="preserve"> Combine phonetic analysis with visual and conceptual analysis to strengthen the argument for the distinctiveness of the applied-for mark.</w:t>
      </w:r>
    </w:p>
    <w:p w14:paraId="0741BF71" w14:textId="77777777" w:rsidR="006E236C" w:rsidRDefault="006E236C" w:rsidP="006E236C">
      <w:pPr>
        <w:spacing w:after="0" w:line="240" w:lineRule="auto"/>
        <w:jc w:val="both"/>
        <w:rPr>
          <w:rFonts w:ascii="Arial" w:eastAsia="Times New Roman" w:hAnsi="Arial" w:cs="Arial"/>
          <w:sz w:val="20"/>
          <w:szCs w:val="20"/>
        </w:rPr>
      </w:pPr>
    </w:p>
    <w:p w14:paraId="005A0814" w14:textId="77777777" w:rsidR="006E236C" w:rsidRDefault="006E236C" w:rsidP="006E236C">
      <w:pPr>
        <w:spacing w:after="0" w:line="240" w:lineRule="auto"/>
        <w:jc w:val="both"/>
        <w:rPr>
          <w:rFonts w:ascii="Arial" w:eastAsia="Times New Roman" w:hAnsi="Arial" w:cs="Arial"/>
          <w:sz w:val="20"/>
          <w:szCs w:val="20"/>
        </w:rPr>
      </w:pPr>
      <w:r w:rsidRPr="006C28CF">
        <w:rPr>
          <w:rFonts w:ascii="Arial" w:eastAsia="Times New Roman" w:hAnsi="Arial" w:cs="Arial"/>
          <w:sz w:val="20"/>
          <w:szCs w:val="20"/>
        </w:rPr>
        <w:t>In conclusion, by effectively utilizing the principles of phonetic comparison, the applicant can persuade the VNIPO of the dissimilarity and distinctiveness of the word element in the applied-for mark compared to the cited mark, from a phonetic perspective.</w:t>
      </w:r>
    </w:p>
    <w:p w14:paraId="18F49952" w14:textId="77777777" w:rsidR="006E236C" w:rsidRPr="006C28CF" w:rsidRDefault="006E236C" w:rsidP="006E236C">
      <w:pPr>
        <w:spacing w:after="0" w:line="240" w:lineRule="auto"/>
        <w:jc w:val="both"/>
        <w:rPr>
          <w:rFonts w:ascii="Arial" w:eastAsia="Times New Roman" w:hAnsi="Arial" w:cs="Arial"/>
          <w:color w:val="2F5496" w:themeColor="accent1" w:themeShade="BF"/>
        </w:rPr>
      </w:pPr>
    </w:p>
    <w:p w14:paraId="7AAA9F27" w14:textId="77777777" w:rsidR="006E236C" w:rsidRPr="006962E9" w:rsidRDefault="006E236C" w:rsidP="006E236C">
      <w:pPr>
        <w:spacing w:after="0" w:line="240" w:lineRule="auto"/>
        <w:jc w:val="both"/>
        <w:rPr>
          <w:rFonts w:ascii="Arial" w:eastAsia="Times New Roman" w:hAnsi="Arial" w:cs="Arial"/>
          <w:b/>
          <w:bCs/>
          <w:color w:val="2F5496" w:themeColor="accent1" w:themeShade="BF"/>
        </w:rPr>
      </w:pPr>
      <w:r w:rsidRPr="006962E9">
        <w:rPr>
          <w:rFonts w:ascii="Arial" w:eastAsia="Times New Roman" w:hAnsi="Arial" w:cs="Arial"/>
          <w:b/>
          <w:bCs/>
          <w:color w:val="2F5496" w:themeColor="accent1" w:themeShade="BF"/>
        </w:rPr>
        <w:t>Closing thoughts</w:t>
      </w:r>
    </w:p>
    <w:p w14:paraId="7EA8847F" w14:textId="77777777" w:rsidR="006E236C" w:rsidRPr="006C28CF" w:rsidRDefault="006E236C" w:rsidP="006E236C">
      <w:pPr>
        <w:spacing w:after="0" w:line="240" w:lineRule="auto"/>
        <w:jc w:val="both"/>
        <w:rPr>
          <w:rFonts w:ascii="Arial" w:eastAsia="Times New Roman" w:hAnsi="Arial" w:cs="Arial"/>
          <w:sz w:val="20"/>
          <w:szCs w:val="20"/>
        </w:rPr>
      </w:pPr>
    </w:p>
    <w:p w14:paraId="21EFECC2" w14:textId="77777777" w:rsidR="006E236C" w:rsidRDefault="006E236C" w:rsidP="006E236C">
      <w:pPr>
        <w:spacing w:after="0" w:line="240" w:lineRule="auto"/>
        <w:jc w:val="both"/>
        <w:rPr>
          <w:rFonts w:ascii="Arial" w:eastAsia="Times New Roman" w:hAnsi="Arial" w:cs="Arial"/>
          <w:sz w:val="20"/>
          <w:szCs w:val="20"/>
        </w:rPr>
      </w:pPr>
      <w:r w:rsidRPr="006C28CF">
        <w:rPr>
          <w:rFonts w:ascii="Arial" w:eastAsia="Times New Roman" w:hAnsi="Arial" w:cs="Arial"/>
          <w:sz w:val="20"/>
          <w:szCs w:val="20"/>
        </w:rPr>
        <w:t>Even in complex cases involving multiple grounds for refusal, a successful appeal remains possible with a sound legal strategy, compelling arguments, persuasive evidence, and the support of experienced IP attorneys. A successful appeal demonstrates the applicant's ability to effectively persuade the VNIPO, providing the Office with a basis to reconsider and overturn its initial decision, thereby protecting the applicant's legitimate rights.</w:t>
      </w:r>
    </w:p>
    <w:p w14:paraId="0C5A8241" w14:textId="32081515" w:rsidR="006E236C" w:rsidRPr="006C28CF" w:rsidRDefault="006E236C" w:rsidP="006E236C">
      <w:pPr>
        <w:spacing w:after="0" w:line="240" w:lineRule="auto"/>
        <w:jc w:val="both"/>
        <w:rPr>
          <w:rFonts w:ascii="Arial" w:eastAsia="Times New Roman" w:hAnsi="Arial" w:cs="Arial"/>
          <w:sz w:val="20"/>
          <w:szCs w:val="20"/>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71552" behindDoc="0" locked="0" layoutInCell="1" allowOverlap="1" wp14:anchorId="1BE269B5" wp14:editId="588FCA31">
                <wp:simplePos x="0" y="0"/>
                <wp:positionH relativeFrom="column">
                  <wp:posOffset>6381750</wp:posOffset>
                </wp:positionH>
                <wp:positionV relativeFrom="paragraph">
                  <wp:posOffset>-251460</wp:posOffset>
                </wp:positionV>
                <wp:extent cx="346710" cy="10325735"/>
                <wp:effectExtent l="0" t="0" r="15240" b="18415"/>
                <wp:wrapNone/>
                <wp:docPr id="9" name="Rectangle 9"/>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8C4E61" w14:textId="77777777" w:rsidR="006E236C" w:rsidRPr="00BA68B8" w:rsidRDefault="006E236C" w:rsidP="006E236C">
                            <w:pPr>
                              <w:spacing w:after="0" w:line="240" w:lineRule="auto"/>
                              <w:rPr>
                                <w:rFonts w:ascii="Arial" w:hAnsi="Arial" w:cs="Arial"/>
                                <w:b/>
                                <w:color w:val="FFFFFF" w:themeColor="background1"/>
                                <w:sz w:val="20"/>
                                <w:szCs w:val="20"/>
                              </w:rPr>
                            </w:pPr>
                            <w:r w:rsidRPr="006E236C">
                              <w:rPr>
                                <w:rFonts w:ascii="Arial" w:hAnsi="Arial" w:cs="Arial"/>
                                <w:b/>
                                <w:bCs/>
                                <w:color w:val="FFFFFF" w:themeColor="background1"/>
                                <w:sz w:val="20"/>
                                <w:szCs w:val="20"/>
                              </w:rPr>
                              <w:t>Analyzing Trademark Differences in Vietnam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E269B5" id="Rectangle 9" o:spid="_x0000_s1030" style="position:absolute;left:0;text-align:left;margin-left:502.5pt;margin-top:-19.8pt;width:27.3pt;height:81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" fillcolor="#00b39c" strokecolor="#00b39c" strokeweight="0">
                <v:textbox style="layout-flow:vertical">
                  <w:txbxContent>
                    <w:p w14:paraId="688C4E61" w14:textId="77777777" w:rsidR="006E236C" w:rsidRPr="00BA68B8" w:rsidRDefault="006E236C" w:rsidP="006E236C">
                      <w:pPr>
                        <w:spacing w:after="0" w:line="240" w:lineRule="auto"/>
                        <w:rPr>
                          <w:rFonts w:ascii="Arial" w:hAnsi="Arial" w:cs="Arial"/>
                          <w:b/>
                          <w:color w:val="FFFFFF" w:themeColor="background1"/>
                          <w:sz w:val="20"/>
                          <w:szCs w:val="20"/>
                        </w:rPr>
                      </w:pPr>
                      <w:r w:rsidRPr="006E236C">
                        <w:rPr>
                          <w:rFonts w:ascii="Arial" w:hAnsi="Arial" w:cs="Arial"/>
                          <w:b/>
                          <w:bCs/>
                          <w:color w:val="FFFFFF" w:themeColor="background1"/>
                          <w:sz w:val="20"/>
                          <w:szCs w:val="20"/>
                        </w:rPr>
                        <w:t>Analyzing Trademark Differences in Vietnam</w:t>
                      </w:r>
                    </w:p>
                  </w:txbxContent>
                </v:textbox>
              </v:rect>
            </w:pict>
          </mc:Fallback>
        </mc:AlternateContent>
      </w:r>
    </w:p>
    <w:p w14:paraId="0743BECD" w14:textId="39715BDD" w:rsidR="006E236C" w:rsidRPr="006C28CF" w:rsidRDefault="006E236C" w:rsidP="006E236C">
      <w:pPr>
        <w:spacing w:after="0" w:line="240" w:lineRule="auto"/>
        <w:jc w:val="both"/>
        <w:rPr>
          <w:rFonts w:ascii="Arial" w:eastAsia="Times New Roman" w:hAnsi="Arial" w:cs="Arial"/>
          <w:sz w:val="20"/>
          <w:szCs w:val="20"/>
        </w:rPr>
      </w:pPr>
      <w:r w:rsidRPr="006C28CF">
        <w:rPr>
          <w:rFonts w:ascii="Arial" w:eastAsia="Times New Roman" w:hAnsi="Arial" w:cs="Arial"/>
          <w:sz w:val="20"/>
          <w:szCs w:val="20"/>
        </w:rPr>
        <w:t xml:space="preserve">Facing challenges in </w:t>
      </w:r>
      <w:hyperlink r:id="rId18" w:history="1">
        <w:r w:rsidRPr="00C31CD9">
          <w:rPr>
            <w:rStyle w:val="Hyperlink"/>
            <w:rFonts w:ascii="Arial" w:eastAsia="Times New Roman" w:hAnsi="Arial" w:cs="Arial"/>
            <w:sz w:val="20"/>
            <w:szCs w:val="20"/>
          </w:rPr>
          <w:t>registering your trademark</w:t>
        </w:r>
      </w:hyperlink>
      <w:r w:rsidRPr="006C28CF">
        <w:rPr>
          <w:rFonts w:ascii="Arial" w:eastAsia="Times New Roman" w:hAnsi="Arial" w:cs="Arial"/>
          <w:sz w:val="20"/>
          <w:szCs w:val="20"/>
        </w:rPr>
        <w:t xml:space="preserve">? Has your trademark application been met with a refusal? Don't let legal obstacles hinder your brand's progress. </w:t>
      </w:r>
      <w:r w:rsidRPr="0023357B">
        <w:rPr>
          <w:rFonts w:ascii="Arial" w:eastAsia="Times New Roman" w:hAnsi="Arial" w:cs="Arial"/>
          <w:sz w:val="20"/>
          <w:szCs w:val="20"/>
        </w:rPr>
        <w:t>Contact KENFOX IP &amp; Law Office today</w:t>
      </w:r>
      <w:r>
        <w:rPr>
          <w:rFonts w:ascii="Arial" w:eastAsia="Times New Roman" w:hAnsi="Arial" w:cs="Arial"/>
          <w:sz w:val="20"/>
          <w:szCs w:val="20"/>
          <w:lang w:val="vi-VN"/>
        </w:rPr>
        <w:t>.</w:t>
      </w:r>
      <w:r w:rsidRPr="006C28CF">
        <w:rPr>
          <w:rFonts w:ascii="Arial" w:eastAsia="Times New Roman" w:hAnsi="Arial" w:cs="Arial"/>
          <w:sz w:val="20"/>
          <w:szCs w:val="20"/>
        </w:rPr>
        <w:t xml:space="preserve"> With 15 years of experience in intellectual property law, we are confident in our ability to be your trusted partner, assisting you in effectively protecting your trademark in Vietnam and internationally.</w:t>
      </w:r>
    </w:p>
    <w:p w14:paraId="69B5CD14" w14:textId="35CB1251" w:rsidR="007375E8" w:rsidRPr="00D03044" w:rsidRDefault="007375E8" w:rsidP="00D03044">
      <w:pPr>
        <w:spacing w:after="0" w:line="240" w:lineRule="auto"/>
        <w:jc w:val="both"/>
        <w:rPr>
          <w:rFonts w:ascii="Arial" w:hAnsi="Arial" w:cs="Arial"/>
          <w:iCs/>
          <w:sz w:val="20"/>
          <w:szCs w:val="20"/>
        </w:rPr>
      </w:pPr>
    </w:p>
    <w:p w14:paraId="07F584F2" w14:textId="77777777" w:rsidR="006E236C" w:rsidRDefault="006E236C" w:rsidP="006E236C">
      <w:pPr>
        <w:spacing w:after="0" w:line="240" w:lineRule="auto"/>
        <w:jc w:val="right"/>
        <w:rPr>
          <w:rFonts w:ascii="Arial" w:hAnsi="Arial" w:cs="Arial"/>
          <w:b/>
          <w:sz w:val="20"/>
          <w:szCs w:val="20"/>
        </w:rPr>
      </w:pPr>
      <w:r>
        <w:rPr>
          <w:rFonts w:ascii="Arial" w:hAnsi="Arial" w:cs="Arial"/>
          <w:b/>
          <w:sz w:val="20"/>
          <w:szCs w:val="20"/>
        </w:rPr>
        <w:t>QUAN, Nguyen Vu | Partner, IP Attorney</w:t>
      </w:r>
    </w:p>
    <w:p w14:paraId="70F9EF5C" w14:textId="77777777" w:rsidR="006E236C" w:rsidRDefault="006E236C" w:rsidP="006E236C">
      <w:pPr>
        <w:spacing w:after="0" w:line="240" w:lineRule="auto"/>
        <w:jc w:val="right"/>
        <w:rPr>
          <w:rFonts w:ascii="Arial" w:hAnsi="Arial" w:cs="Arial"/>
          <w:b/>
          <w:sz w:val="20"/>
          <w:szCs w:val="20"/>
        </w:rPr>
      </w:pPr>
      <w:r>
        <w:rPr>
          <w:rFonts w:ascii="Arial" w:hAnsi="Arial" w:cs="Arial"/>
          <w:b/>
          <w:sz w:val="20"/>
          <w:szCs w:val="20"/>
        </w:rPr>
        <w:t>PHAN, Do Thi | Special Counsel</w:t>
      </w:r>
    </w:p>
    <w:p w14:paraId="3F608625" w14:textId="77777777" w:rsidR="006E236C" w:rsidRDefault="006E236C" w:rsidP="006E236C">
      <w:pPr>
        <w:spacing w:after="0" w:line="240" w:lineRule="auto"/>
        <w:jc w:val="right"/>
        <w:rPr>
          <w:rFonts w:ascii="Arial" w:hAnsi="Arial" w:cs="Arial"/>
          <w:b/>
          <w:sz w:val="20"/>
          <w:szCs w:val="20"/>
        </w:rPr>
      </w:pPr>
      <w:r>
        <w:rPr>
          <w:rFonts w:ascii="Arial" w:hAnsi="Arial" w:cs="Arial"/>
          <w:b/>
          <w:sz w:val="20"/>
          <w:szCs w:val="20"/>
        </w:rPr>
        <w:t>HONG, Hoang Thi Tuyet | Senior Trademark Attorney</w:t>
      </w:r>
    </w:p>
    <w:p w14:paraId="14A8B26E" w14:textId="5CE27947" w:rsidR="0002156E" w:rsidRPr="00D03044" w:rsidRDefault="0002156E" w:rsidP="0002156E">
      <w:pPr>
        <w:spacing w:after="0" w:line="240" w:lineRule="auto"/>
        <w:jc w:val="both"/>
        <w:rPr>
          <w:rFonts w:ascii="Arial" w:eastAsia="Times New Roman" w:hAnsi="Arial" w:cs="Arial"/>
          <w:sz w:val="20"/>
          <w:szCs w:val="20"/>
          <w:lang w:eastAsia="ko-KR"/>
        </w:rPr>
      </w:pPr>
    </w:p>
    <w:p w14:paraId="26D1DF48" w14:textId="244E363A" w:rsidR="0002156E" w:rsidRPr="00D03044" w:rsidRDefault="0002156E" w:rsidP="0002156E">
      <w:pPr>
        <w:spacing w:after="0" w:line="240" w:lineRule="auto"/>
        <w:rPr>
          <w:rFonts w:ascii="Arial" w:hAnsi="Arial" w:cs="Arial"/>
        </w:rPr>
      </w:pPr>
    </w:p>
    <w:p w14:paraId="5C6FA545" w14:textId="77539386" w:rsidR="0002156E" w:rsidRPr="00D03044" w:rsidRDefault="006E236C" w:rsidP="0002156E">
      <w:pPr>
        <w:rPr>
          <w:rFonts w:ascii="Arial" w:hAnsi="Arial" w:cs="Arial"/>
          <w:sz w:val="20"/>
          <w:szCs w:val="20"/>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22AA6FE6">
                <wp:simplePos x="0" y="0"/>
                <wp:positionH relativeFrom="column">
                  <wp:posOffset>3810</wp:posOffset>
                </wp:positionH>
                <wp:positionV relativeFrom="paragraph">
                  <wp:posOffset>38100</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31" style="position:absolute;margin-left:.3pt;margin-top:3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N/kSw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69777E0C" w14:textId="15483ABA" w:rsidR="00D75958" w:rsidRPr="00D03044" w:rsidRDefault="00D75958" w:rsidP="00D75958">
      <w:pPr>
        <w:spacing w:after="0" w:line="240" w:lineRule="auto"/>
        <w:jc w:val="both"/>
        <w:rPr>
          <w:rFonts w:ascii="Arial" w:eastAsia="Times New Roman" w:hAnsi="Arial" w:cs="Arial"/>
          <w:sz w:val="20"/>
          <w:szCs w:val="20"/>
          <w:lang w:eastAsia="ko-KR"/>
        </w:rPr>
      </w:pPr>
    </w:p>
    <w:p w14:paraId="282B93C3" w14:textId="77777777" w:rsidR="00D75958" w:rsidRPr="00D03044" w:rsidRDefault="00D75958" w:rsidP="00D75958">
      <w:pPr>
        <w:spacing w:after="0" w:line="240" w:lineRule="auto"/>
        <w:rPr>
          <w:rFonts w:ascii="Arial" w:hAnsi="Arial" w:cs="Arial"/>
        </w:rPr>
      </w:pPr>
    </w:p>
    <w:p w14:paraId="47D62832" w14:textId="0F01BBC1" w:rsidR="001E0868" w:rsidRPr="00D03044" w:rsidRDefault="001E0868" w:rsidP="00EC5B6B">
      <w:pPr>
        <w:jc w:val="both"/>
        <w:rPr>
          <w:rFonts w:ascii="Arial" w:hAnsi="Arial" w:cs="Arial"/>
        </w:rPr>
      </w:pPr>
    </w:p>
    <w:sectPr w:rsidR="001E0868" w:rsidRPr="00D03044" w:rsidSect="0059620B">
      <w:footerReference w:type="default" r:id="rId19"/>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ACE732" w14:textId="77777777" w:rsidR="00754940" w:rsidRDefault="00754940">
      <w:pPr>
        <w:spacing w:after="0" w:line="240" w:lineRule="auto"/>
      </w:pPr>
      <w:r>
        <w:separator/>
      </w:r>
    </w:p>
  </w:endnote>
  <w:endnote w:type="continuationSeparator" w:id="0">
    <w:p w14:paraId="52A33609" w14:textId="77777777" w:rsidR="00754940" w:rsidRDefault="00754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500B70D" w:rsidR="00C62253" w:rsidRPr="00FF7ED4" w:rsidRDefault="00754940">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EC5B6B">
              <w:rPr>
                <w:rFonts w:ascii="Arial" w:hAnsi="Arial" w:cs="Arial"/>
                <w:b/>
                <w:sz w:val="18"/>
                <w:szCs w:val="18"/>
              </w:rPr>
              <w:t>Page</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7549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D012A6" w14:textId="77777777" w:rsidR="00754940" w:rsidRDefault="00754940">
      <w:pPr>
        <w:spacing w:after="0" w:line="240" w:lineRule="auto"/>
      </w:pPr>
      <w:r>
        <w:separator/>
      </w:r>
    </w:p>
  </w:footnote>
  <w:footnote w:type="continuationSeparator" w:id="0">
    <w:p w14:paraId="7FA290C8" w14:textId="77777777" w:rsidR="00754940" w:rsidRDefault="007549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46414A"/>
    <w:multiLevelType w:val="multilevel"/>
    <w:tmpl w:val="EA484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26343A"/>
    <w:multiLevelType w:val="multilevel"/>
    <w:tmpl w:val="84A08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5C4594"/>
    <w:multiLevelType w:val="hybridMultilevel"/>
    <w:tmpl w:val="E21CE510"/>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F443B3"/>
    <w:multiLevelType w:val="multilevel"/>
    <w:tmpl w:val="EFB48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DB0704"/>
    <w:multiLevelType w:val="hybridMultilevel"/>
    <w:tmpl w:val="965826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EB204C"/>
    <w:multiLevelType w:val="multilevel"/>
    <w:tmpl w:val="93B2A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1C0575"/>
    <w:multiLevelType w:val="multilevel"/>
    <w:tmpl w:val="0248E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3"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3"/>
  </w:num>
  <w:num w:numId="3">
    <w:abstractNumId w:val="15"/>
  </w:num>
  <w:num w:numId="4">
    <w:abstractNumId w:val="20"/>
  </w:num>
  <w:num w:numId="5">
    <w:abstractNumId w:val="17"/>
  </w:num>
  <w:num w:numId="6">
    <w:abstractNumId w:val="0"/>
  </w:num>
  <w:num w:numId="7">
    <w:abstractNumId w:val="5"/>
  </w:num>
  <w:num w:numId="8">
    <w:abstractNumId w:val="21"/>
  </w:num>
  <w:num w:numId="9">
    <w:abstractNumId w:val="9"/>
  </w:num>
  <w:num w:numId="10">
    <w:abstractNumId w:val="3"/>
  </w:num>
  <w:num w:numId="11">
    <w:abstractNumId w:val="19"/>
  </w:num>
  <w:num w:numId="12">
    <w:abstractNumId w:val="1"/>
  </w:num>
  <w:num w:numId="13">
    <w:abstractNumId w:val="16"/>
  </w:num>
  <w:num w:numId="14">
    <w:abstractNumId w:val="18"/>
  </w:num>
  <w:num w:numId="15">
    <w:abstractNumId w:val="11"/>
  </w:num>
  <w:num w:numId="16">
    <w:abstractNumId w:val="22"/>
  </w:num>
  <w:num w:numId="17">
    <w:abstractNumId w:val="2"/>
  </w:num>
  <w:num w:numId="18">
    <w:abstractNumId w:val="12"/>
  </w:num>
  <w:num w:numId="19">
    <w:abstractNumId w:val="7"/>
  </w:num>
  <w:num w:numId="20">
    <w:abstractNumId w:val="10"/>
  </w:num>
  <w:num w:numId="21">
    <w:abstractNumId w:val="14"/>
  </w:num>
  <w:num w:numId="22">
    <w:abstractNumId w:val="13"/>
  </w:num>
  <w:num w:numId="23">
    <w:abstractNumId w:val="4"/>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126CC7"/>
    <w:rsid w:val="001515AA"/>
    <w:rsid w:val="001D1CDD"/>
    <w:rsid w:val="001E0868"/>
    <w:rsid w:val="00215B22"/>
    <w:rsid w:val="00234C16"/>
    <w:rsid w:val="002753DD"/>
    <w:rsid w:val="002B63C0"/>
    <w:rsid w:val="0032315D"/>
    <w:rsid w:val="0033574A"/>
    <w:rsid w:val="003756D4"/>
    <w:rsid w:val="003D7C8C"/>
    <w:rsid w:val="003E03BE"/>
    <w:rsid w:val="004A1761"/>
    <w:rsid w:val="004D64BC"/>
    <w:rsid w:val="00531173"/>
    <w:rsid w:val="00576438"/>
    <w:rsid w:val="005D32F9"/>
    <w:rsid w:val="00631122"/>
    <w:rsid w:val="00675D62"/>
    <w:rsid w:val="006C0389"/>
    <w:rsid w:val="006E236C"/>
    <w:rsid w:val="006F1BC0"/>
    <w:rsid w:val="007375E8"/>
    <w:rsid w:val="00745E08"/>
    <w:rsid w:val="00754940"/>
    <w:rsid w:val="007730A1"/>
    <w:rsid w:val="007C392A"/>
    <w:rsid w:val="00813493"/>
    <w:rsid w:val="00820E66"/>
    <w:rsid w:val="008366D4"/>
    <w:rsid w:val="008416E5"/>
    <w:rsid w:val="00905D7C"/>
    <w:rsid w:val="00933532"/>
    <w:rsid w:val="00A4177F"/>
    <w:rsid w:val="00A623C4"/>
    <w:rsid w:val="00AC74F1"/>
    <w:rsid w:val="00AF0703"/>
    <w:rsid w:val="00B929FC"/>
    <w:rsid w:val="00C13ACF"/>
    <w:rsid w:val="00CA3F97"/>
    <w:rsid w:val="00CE035D"/>
    <w:rsid w:val="00D02775"/>
    <w:rsid w:val="00D03044"/>
    <w:rsid w:val="00D04B4E"/>
    <w:rsid w:val="00D417C1"/>
    <w:rsid w:val="00D645F2"/>
    <w:rsid w:val="00D75958"/>
    <w:rsid w:val="00D9190F"/>
    <w:rsid w:val="00E02884"/>
    <w:rsid w:val="00EC12BB"/>
    <w:rsid w:val="00EC5B6B"/>
    <w:rsid w:val="00F7004B"/>
    <w:rsid w:val="00FA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paragraph" w:styleId="Heading3">
    <w:name w:val="heading 3"/>
    <w:basedOn w:val="Normal"/>
    <w:link w:val="Heading3Char"/>
    <w:uiPriority w:val="9"/>
    <w:qFormat/>
    <w:rsid w:val="007730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3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 w:type="character" w:customStyle="1" w:styleId="Heading3Char">
    <w:name w:val="Heading 3 Char"/>
    <w:basedOn w:val="DefaultParagraphFont"/>
    <w:link w:val="Heading3"/>
    <w:uiPriority w:val="9"/>
    <w:rsid w:val="007730A1"/>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852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yperlink" Target="https://kenfoxlaw.com/registering-a-trademark-in-bad-faith-in-vietnam-how-to-prove-the-applicants-intentions-and-motive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kenfoxlaw.com/fabrilcar-vs-fabrica-and-fabricair-how-to-successfully-appeal-a-trademark-refusal-in-vietnam" TargetMode="External"/><Relationship Id="rId12" Type="http://schemas.openxmlformats.org/officeDocument/2006/relationships/image" Target="media/image4.png"/><Relationship Id="rId17" Type="http://schemas.openxmlformats.org/officeDocument/2006/relationships/hyperlink" Target="https://kenfoxlaw.com/what-are-constituent-elements-for-criminal-liability-for-trademark-infringement-in-laos" TargetMode="External"/><Relationship Id="rId2" Type="http://schemas.openxmlformats.org/officeDocument/2006/relationships/styles" Target="styles.xml"/><Relationship Id="rId16" Type="http://schemas.openxmlformats.org/officeDocument/2006/relationships/hyperlink" Target="https://kenfoxlaw.com/chinese-character-trademarks-still-protected-or-outdated"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enfoxlaw.com/approaches-to-overcome-a-refusal-of-a-trademark-application-that-is-identical-or-similar-to-an-expired-mark-in-vietnam" TargetMode="External"/><Relationship Id="rId5" Type="http://schemas.openxmlformats.org/officeDocument/2006/relationships/footnotes" Target="footnotes.xml"/><Relationship Id="rId15" Type="http://schemas.openxmlformats.org/officeDocument/2006/relationships/hyperlink" Target="https://kenfoxlaw.com/a-court-case-concerning-well-known-trademark-x-men-between-marvel-characters-inc-and-the-vietnamese-applicant-2" TargetMode="Externa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kenfoxlaw.com/fast-tracking-patent-examination-in-vietnam-utilizing-foreign-examination-result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4</Pages>
  <Words>1825</Words>
  <Characters>10404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10</cp:revision>
  <cp:lastPrinted>2025-02-21T11:49:00Z</cp:lastPrinted>
  <dcterms:created xsi:type="dcterms:W3CDTF">2023-02-07T03:35:00Z</dcterms:created>
  <dcterms:modified xsi:type="dcterms:W3CDTF">2025-02-21T11:50:00Z</dcterms:modified>
</cp:coreProperties>
</file>