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A0A18" w14:textId="12C1EC0E" w:rsidR="00BC78C6" w:rsidRPr="00BC78C6" w:rsidRDefault="004D64BC" w:rsidP="00BC78C6">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6C98BFE" w:rsidR="00FA2CEE" w:rsidRPr="00BA68B8" w:rsidRDefault="00BC78C6" w:rsidP="00FA2CEE">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6C98BFE" w:rsidR="00FA2CEE" w:rsidRPr="00BA68B8" w:rsidRDefault="00BC78C6" w:rsidP="00FA2CEE">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3B496E2" w:rsidR="00FA2CEE" w:rsidRPr="00BC78C6" w:rsidRDefault="00BC78C6" w:rsidP="00FA2CEE">
                            <w:pPr>
                              <w:spacing w:after="0"/>
                              <w:jc w:val="center"/>
                              <w:rPr>
                                <w:rFonts w:ascii="Arial" w:hAnsi="Arial" w:cs="Arial"/>
                                <w:b/>
                                <w:color w:val="FFFFFF" w:themeColor="background1"/>
                                <w:sz w:val="20"/>
                                <w:szCs w:val="20"/>
                                <w:lang w:val="vi-VN"/>
                              </w:rPr>
                            </w:pPr>
                            <w:r w:rsidRPr="00BC78C6">
                              <w:rPr>
                                <w:rFonts w:ascii="Arial" w:hAnsi="Arial" w:cs="Arial"/>
                                <w:b/>
                                <w:bCs/>
                                <w:color w:val="FFFFFF" w:themeColor="background1"/>
                                <w:sz w:val="20"/>
                                <w:szCs w:val="20"/>
                              </w:rPr>
                              <w:t xml:space="preserve">Phân tích sự khác biệt giữa các nhãn hiệu </w:t>
                            </w:r>
                            <w:r>
                              <w:rPr>
                                <w:rFonts w:ascii="Arial" w:hAnsi="Arial" w:cs="Arial"/>
                                <w:b/>
                                <w:bCs/>
                                <w:color w:val="FFFFFF" w:themeColor="background1"/>
                                <w:sz w:val="20"/>
                                <w:szCs w:val="20"/>
                                <w:lang w:val="vi-VN"/>
                              </w:rPr>
                              <w:t>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3B496E2" w:rsidR="00FA2CEE" w:rsidRPr="00BC78C6" w:rsidRDefault="00BC78C6" w:rsidP="00FA2CEE">
                      <w:pPr>
                        <w:spacing w:after="0"/>
                        <w:jc w:val="center"/>
                        <w:rPr>
                          <w:rFonts w:ascii="Arial" w:hAnsi="Arial" w:cs="Arial"/>
                          <w:b/>
                          <w:color w:val="FFFFFF" w:themeColor="background1"/>
                          <w:sz w:val="20"/>
                          <w:szCs w:val="20"/>
                          <w:lang w:val="vi-VN"/>
                        </w:rPr>
                      </w:pPr>
                      <w:r w:rsidRPr="00BC78C6">
                        <w:rPr>
                          <w:rFonts w:ascii="Arial" w:hAnsi="Arial" w:cs="Arial"/>
                          <w:b/>
                          <w:bCs/>
                          <w:color w:val="FFFFFF" w:themeColor="background1"/>
                          <w:sz w:val="20"/>
                          <w:szCs w:val="20"/>
                        </w:rPr>
                        <w:t xml:space="preserve">Phân tích sự khác biệt giữa các nhãn hiệu </w:t>
                      </w:r>
                      <w:r>
                        <w:rPr>
                          <w:rFonts w:ascii="Arial" w:hAnsi="Arial" w:cs="Arial"/>
                          <w:b/>
                          <w:bCs/>
                          <w:color w:val="FFFFFF" w:themeColor="background1"/>
                          <w:sz w:val="20"/>
                          <w:szCs w:val="20"/>
                          <w:lang w:val="vi-VN"/>
                        </w:rPr>
                        <w:t>ở Việt Nam</w:t>
                      </w:r>
                    </w:p>
                  </w:txbxContent>
                </v:textbox>
                <w10:wrap anchorx="page"/>
              </v:rect>
            </w:pict>
          </mc:Fallback>
        </mc:AlternateContent>
      </w:r>
      <w:r w:rsidR="00745E08" w:rsidRPr="00745E08">
        <w:rPr>
          <w:rFonts w:ascii="Arial" w:hAnsi="Arial" w:cs="Arial"/>
          <w:b/>
          <w:iCs/>
          <w:color w:val="C00000"/>
        </w:rPr>
        <w:t xml:space="preserve"> </w:t>
      </w:r>
      <w:r w:rsidR="00BC78C6" w:rsidRPr="00BC78C6">
        <w:rPr>
          <w:rFonts w:ascii="Arial" w:hAnsi="Arial" w:cs="Arial"/>
          <w:b/>
          <w:iCs/>
          <w:color w:val="C00000"/>
        </w:rPr>
        <w:t xml:space="preserve">Zhong Wu vs. ZHONGYU: Phân tích sự khác biệt giữa các nhãn hiệu dựa trên các nguyên tắc nào? </w:t>
      </w:r>
    </w:p>
    <w:p w14:paraId="4121E188" w14:textId="77777777" w:rsidR="00BC78C6" w:rsidRPr="00E74CF8" w:rsidRDefault="00BC78C6" w:rsidP="00BC78C6">
      <w:pPr>
        <w:spacing w:after="0" w:line="240" w:lineRule="auto"/>
        <w:jc w:val="both"/>
        <w:rPr>
          <w:rFonts w:ascii="Arial" w:eastAsia="Times New Roman" w:hAnsi="Arial" w:cs="Arial"/>
          <w:sz w:val="20"/>
          <w:szCs w:val="20"/>
        </w:rPr>
      </w:pPr>
    </w:p>
    <w:p w14:paraId="4BD5FBB1" w14:textId="77777777" w:rsidR="00BC78C6" w:rsidRDefault="00BC78C6" w:rsidP="00BC78C6">
      <w:pPr>
        <w:spacing w:after="0" w:line="240" w:lineRule="auto"/>
        <w:jc w:val="both"/>
        <w:rPr>
          <w:rFonts w:ascii="Arial" w:hAnsi="Arial" w:cs="Arial"/>
          <w:i/>
          <w:iCs/>
          <w:sz w:val="20"/>
          <w:szCs w:val="20"/>
        </w:rPr>
      </w:pPr>
      <w:r w:rsidRPr="00EC26B7">
        <w:rPr>
          <w:rFonts w:ascii="Arial" w:hAnsi="Arial" w:cs="Arial"/>
          <w:i/>
          <w:iCs/>
          <w:sz w:val="20"/>
          <w:szCs w:val="20"/>
        </w:rPr>
        <w:t>Khiếu nại quyết</w:t>
      </w:r>
      <w:r w:rsidRPr="009347EB">
        <w:rPr>
          <w:rFonts w:ascii="Arial" w:hAnsi="Arial" w:cs="Arial"/>
          <w:i/>
          <w:iCs/>
          <w:sz w:val="20"/>
          <w:szCs w:val="20"/>
        </w:rPr>
        <w:t xml:space="preserve"> đị</w:t>
      </w:r>
      <w:r w:rsidRPr="00C66FC8">
        <w:rPr>
          <w:rFonts w:ascii="Arial" w:hAnsi="Arial" w:cs="Arial"/>
          <w:i/>
          <w:iCs/>
          <w:sz w:val="20"/>
          <w:szCs w:val="20"/>
        </w:rPr>
        <w:t>nh từ chối bảo hộ</w:t>
      </w:r>
      <w:r w:rsidRPr="00EC26B7">
        <w:rPr>
          <w:rFonts w:ascii="Arial" w:hAnsi="Arial" w:cs="Arial"/>
          <w:i/>
          <w:iCs/>
          <w:sz w:val="20"/>
          <w:szCs w:val="20"/>
        </w:rPr>
        <w:t xml:space="preserve"> nhãn hiệu của Cục Sở hữu Trí tuệ Việt Nam</w:t>
      </w:r>
      <w:r>
        <w:rPr>
          <w:rFonts w:ascii="Arial" w:hAnsi="Arial" w:cs="Arial"/>
          <w:i/>
          <w:iCs/>
          <w:sz w:val="20"/>
          <w:szCs w:val="20"/>
        </w:rPr>
        <w:t xml:space="preserve"> (“</w:t>
      </w:r>
      <w:r w:rsidRPr="00EC26B7">
        <w:rPr>
          <w:rFonts w:ascii="Arial" w:hAnsi="Arial" w:cs="Arial"/>
          <w:b/>
          <w:bCs/>
          <w:i/>
          <w:iCs/>
          <w:sz w:val="20"/>
          <w:szCs w:val="20"/>
        </w:rPr>
        <w:t>Cục SHTT</w:t>
      </w:r>
      <w:r>
        <w:rPr>
          <w:rFonts w:ascii="Arial" w:hAnsi="Arial" w:cs="Arial"/>
          <w:i/>
          <w:iCs/>
          <w:sz w:val="20"/>
          <w:szCs w:val="20"/>
        </w:rPr>
        <w:t>”)</w:t>
      </w:r>
      <w:r w:rsidRPr="00EC26B7">
        <w:rPr>
          <w:rFonts w:ascii="Arial" w:hAnsi="Arial" w:cs="Arial"/>
          <w:i/>
          <w:iCs/>
          <w:sz w:val="20"/>
          <w:szCs w:val="20"/>
        </w:rPr>
        <w:t xml:space="preserve"> là một thách thức pháp lý đáng kể, ngay cả khi chỉ dựa trên một căn cứ từ chối duy nhất. </w:t>
      </w:r>
      <w:r>
        <w:rPr>
          <w:rFonts w:ascii="Arial" w:hAnsi="Arial" w:cs="Arial"/>
          <w:i/>
          <w:iCs/>
          <w:sz w:val="20"/>
          <w:szCs w:val="20"/>
        </w:rPr>
        <w:t>K</w:t>
      </w:r>
      <w:r w:rsidRPr="00EC26B7">
        <w:rPr>
          <w:rFonts w:ascii="Arial" w:hAnsi="Arial" w:cs="Arial"/>
          <w:i/>
          <w:iCs/>
          <w:sz w:val="20"/>
          <w:szCs w:val="20"/>
        </w:rPr>
        <w:t xml:space="preserve">hi </w:t>
      </w:r>
      <w:r>
        <w:rPr>
          <w:rFonts w:ascii="Arial" w:hAnsi="Arial" w:cs="Arial"/>
          <w:i/>
          <w:iCs/>
          <w:sz w:val="20"/>
          <w:szCs w:val="20"/>
        </w:rPr>
        <w:t>nhãn hiệu vướng phải</w:t>
      </w:r>
      <w:r w:rsidRPr="00EC26B7">
        <w:rPr>
          <w:rFonts w:ascii="Arial" w:hAnsi="Arial" w:cs="Arial"/>
          <w:i/>
          <w:iCs/>
          <w:sz w:val="20"/>
          <w:szCs w:val="20"/>
        </w:rPr>
        <w:t xml:space="preserve"> </w:t>
      </w:r>
      <w:r>
        <w:rPr>
          <w:rFonts w:ascii="Arial" w:hAnsi="Arial" w:cs="Arial"/>
          <w:i/>
          <w:iCs/>
          <w:sz w:val="20"/>
          <w:szCs w:val="20"/>
        </w:rPr>
        <w:t>“</w:t>
      </w:r>
      <w:r w:rsidRPr="00EC26B7">
        <w:rPr>
          <w:rFonts w:ascii="Arial" w:hAnsi="Arial" w:cs="Arial"/>
          <w:i/>
          <w:iCs/>
          <w:sz w:val="20"/>
          <w:szCs w:val="20"/>
        </w:rPr>
        <w:t>nhiều</w:t>
      </w:r>
      <w:r>
        <w:rPr>
          <w:rFonts w:ascii="Arial" w:hAnsi="Arial" w:cs="Arial"/>
          <w:i/>
          <w:iCs/>
          <w:sz w:val="20"/>
          <w:szCs w:val="20"/>
        </w:rPr>
        <w:t>”</w:t>
      </w:r>
      <w:r w:rsidRPr="00EC26B7">
        <w:rPr>
          <w:rFonts w:ascii="Arial" w:hAnsi="Arial" w:cs="Arial"/>
          <w:i/>
          <w:iCs/>
          <w:sz w:val="20"/>
          <w:szCs w:val="20"/>
        </w:rPr>
        <w:t xml:space="preserve"> căn cứ từ chối</w:t>
      </w:r>
      <w:r>
        <w:rPr>
          <w:rFonts w:ascii="Arial" w:hAnsi="Arial" w:cs="Arial"/>
          <w:i/>
          <w:iCs/>
          <w:sz w:val="20"/>
          <w:szCs w:val="20"/>
        </w:rPr>
        <w:t xml:space="preserve">, </w:t>
      </w:r>
      <w:r w:rsidRPr="00EC26B7">
        <w:rPr>
          <w:rFonts w:ascii="Arial" w:hAnsi="Arial" w:cs="Arial"/>
          <w:i/>
          <w:iCs/>
          <w:sz w:val="20"/>
          <w:szCs w:val="20"/>
        </w:rPr>
        <w:t xml:space="preserve">khả năng </w:t>
      </w:r>
      <w:hyperlink r:id="rId7" w:history="1">
        <w:r w:rsidRPr="00BE02A4">
          <w:rPr>
            <w:rStyle w:val="Hyperlink"/>
            <w:rFonts w:ascii="Arial" w:hAnsi="Arial" w:cs="Arial"/>
            <w:i/>
            <w:iCs/>
            <w:sz w:val="20"/>
            <w:szCs w:val="20"/>
          </w:rPr>
          <w:t>khiếu nại thành công</w:t>
        </w:r>
      </w:hyperlink>
      <w:r w:rsidRPr="00EC26B7">
        <w:rPr>
          <w:rFonts w:ascii="Arial" w:hAnsi="Arial" w:cs="Arial"/>
          <w:i/>
          <w:iCs/>
          <w:sz w:val="20"/>
          <w:szCs w:val="20"/>
        </w:rPr>
        <w:t xml:space="preserve"> càng trở nên khó khăn.</w:t>
      </w:r>
      <w:r>
        <w:rPr>
          <w:rFonts w:ascii="Arial" w:hAnsi="Arial" w:cs="Arial"/>
          <w:i/>
          <w:iCs/>
          <w:sz w:val="20"/>
          <w:szCs w:val="20"/>
        </w:rPr>
        <w:t xml:space="preserve"> Tuy nhiên, mới đây,</w:t>
      </w:r>
      <w:r w:rsidRPr="00EC26B7">
        <w:rPr>
          <w:rFonts w:ascii="Arial" w:hAnsi="Arial" w:cs="Arial"/>
          <w:i/>
          <w:iCs/>
          <w:sz w:val="20"/>
          <w:szCs w:val="20"/>
        </w:rPr>
        <w:t xml:space="preserve"> </w:t>
      </w:r>
      <w:r>
        <w:rPr>
          <w:rFonts w:ascii="Arial" w:hAnsi="Arial" w:cs="Arial"/>
          <w:i/>
          <w:iCs/>
          <w:sz w:val="20"/>
          <w:szCs w:val="20"/>
        </w:rPr>
        <w:t xml:space="preserve">với </w:t>
      </w:r>
      <w:hyperlink r:id="rId8" w:history="1">
        <w:r w:rsidRPr="00BE02A4">
          <w:rPr>
            <w:rFonts w:ascii="Arial" w:hAnsi="Arial" w:cs="Arial"/>
            <w:i/>
            <w:iCs/>
            <w:sz w:val="20"/>
            <w:szCs w:val="20"/>
          </w:rPr>
          <w:t>sự hỗ trợ của KENFOX IP &amp; Law Office</w:t>
        </w:r>
      </w:hyperlink>
      <w:r>
        <w:rPr>
          <w:rFonts w:ascii="Arial" w:hAnsi="Arial" w:cs="Arial"/>
          <w:i/>
          <w:iCs/>
          <w:sz w:val="20"/>
          <w:szCs w:val="20"/>
        </w:rPr>
        <w:t xml:space="preserve">, </w:t>
      </w:r>
      <w:r w:rsidRPr="00EC26B7">
        <w:rPr>
          <w:rFonts w:ascii="Arial" w:hAnsi="Arial" w:cs="Arial"/>
          <w:i/>
          <w:iCs/>
          <w:sz w:val="20"/>
          <w:szCs w:val="20"/>
        </w:rPr>
        <w:t>một nhãn hiệu đăng ký theo Hệ thống Madrid chỉ định Việt Nam</w:t>
      </w:r>
      <w:r>
        <w:rPr>
          <w:rFonts w:ascii="Arial" w:hAnsi="Arial" w:cs="Arial"/>
          <w:i/>
          <w:iCs/>
          <w:sz w:val="20"/>
          <w:szCs w:val="20"/>
        </w:rPr>
        <w:t xml:space="preserve"> đã được công nhận khả năng phân biệt và được bảo hộ thành công, bất kể việc </w:t>
      </w:r>
      <w:r w:rsidRPr="00EC26B7">
        <w:rPr>
          <w:rFonts w:ascii="Arial" w:hAnsi="Arial" w:cs="Arial"/>
          <w:i/>
          <w:iCs/>
          <w:sz w:val="20"/>
          <w:szCs w:val="20"/>
        </w:rPr>
        <w:t>bị từ chối dựa trên ba căn cứ khác nhau.</w:t>
      </w:r>
    </w:p>
    <w:p w14:paraId="6B25949B" w14:textId="77777777" w:rsidR="00BC78C6" w:rsidRDefault="00BC78C6" w:rsidP="00BC78C6">
      <w:pPr>
        <w:spacing w:after="0" w:line="240" w:lineRule="auto"/>
        <w:jc w:val="both"/>
      </w:pPr>
    </w:p>
    <w:p w14:paraId="1BC30050" w14:textId="77777777" w:rsidR="00BC78C6" w:rsidRDefault="00BC78C6" w:rsidP="00BC78C6">
      <w:pPr>
        <w:spacing w:after="0" w:line="240" w:lineRule="auto"/>
        <w:jc w:val="both"/>
        <w:rPr>
          <w:rFonts w:ascii="Arial" w:hAnsi="Arial" w:cs="Arial"/>
          <w:sz w:val="20"/>
          <w:szCs w:val="20"/>
        </w:rPr>
      </w:pPr>
      <w:r w:rsidRPr="00EC26B7">
        <w:rPr>
          <w:rFonts w:ascii="Arial" w:hAnsi="Arial" w:cs="Arial"/>
          <w:i/>
          <w:iCs/>
          <w:sz w:val="20"/>
          <w:szCs w:val="20"/>
        </w:rPr>
        <w:t xml:space="preserve">Điều gì đã giúp chủ đơn thuyết phục Cục </w:t>
      </w:r>
      <w:r>
        <w:rPr>
          <w:rFonts w:ascii="Arial" w:hAnsi="Arial" w:cs="Arial"/>
          <w:i/>
          <w:iCs/>
          <w:sz w:val="20"/>
          <w:szCs w:val="20"/>
        </w:rPr>
        <w:t>SHTT</w:t>
      </w:r>
      <w:r w:rsidRPr="00EC26B7">
        <w:rPr>
          <w:rFonts w:ascii="Arial" w:hAnsi="Arial" w:cs="Arial"/>
          <w:i/>
          <w:iCs/>
          <w:sz w:val="20"/>
          <w:szCs w:val="20"/>
        </w:rPr>
        <w:t xml:space="preserve"> xem xét lại, "đảo ngược" kết luận ban đầu để công nhận khả năng phân biệt của nhãn hiệu mà trước đó đã bị từ chối vì </w:t>
      </w:r>
      <w:r w:rsidRPr="00EC26B7">
        <w:rPr>
          <w:b/>
          <w:bCs/>
          <w:i/>
          <w:iCs/>
        </w:rPr>
        <w:t>vừa chứa chữ tiếng Trung Quốc, vừa tương tự gây nhầm lẫn với hai nhãn hiệu đối chứng?</w:t>
      </w:r>
      <w:r w:rsidRPr="00EC26B7">
        <w:rPr>
          <w:rFonts w:ascii="Arial" w:hAnsi="Arial" w:cs="Arial"/>
          <w:i/>
          <w:iCs/>
          <w:sz w:val="20"/>
          <w:szCs w:val="20"/>
        </w:rPr>
        <w:t xml:space="preserve"> Đâu là những kinh nghiệm từ vụ việc?</w:t>
      </w:r>
    </w:p>
    <w:p w14:paraId="22EFB63C" w14:textId="77777777" w:rsidR="00BC78C6" w:rsidRDefault="00BC78C6" w:rsidP="00BC78C6">
      <w:pPr>
        <w:spacing w:after="0" w:line="240" w:lineRule="auto"/>
        <w:jc w:val="both"/>
        <w:rPr>
          <w:rFonts w:ascii="Arial" w:hAnsi="Arial" w:cs="Arial"/>
          <w:sz w:val="20"/>
          <w:szCs w:val="20"/>
        </w:rPr>
      </w:pPr>
    </w:p>
    <w:p w14:paraId="612EE5F9" w14:textId="77777777" w:rsidR="00BC78C6" w:rsidRPr="00EC26B7" w:rsidRDefault="00BC78C6" w:rsidP="00BC78C6">
      <w:pPr>
        <w:spacing w:after="0" w:line="240" w:lineRule="auto"/>
        <w:jc w:val="both"/>
        <w:rPr>
          <w:rFonts w:ascii="Arial" w:eastAsia="Times New Roman" w:hAnsi="Arial" w:cs="Arial"/>
          <w:b/>
          <w:bCs/>
          <w:color w:val="2F5496" w:themeColor="accent1" w:themeShade="BF"/>
        </w:rPr>
      </w:pPr>
      <w:r w:rsidRPr="00EC26B7">
        <w:rPr>
          <w:rFonts w:ascii="Arial" w:eastAsia="Times New Roman" w:hAnsi="Arial" w:cs="Arial"/>
          <w:b/>
          <w:bCs/>
          <w:color w:val="2F5496" w:themeColor="accent1" w:themeShade="BF"/>
        </w:rPr>
        <w:t>Bối cảnh</w:t>
      </w:r>
    </w:p>
    <w:p w14:paraId="5F397AEA" w14:textId="77777777" w:rsidR="00BC78C6" w:rsidRPr="00E74CF8" w:rsidRDefault="00BC78C6" w:rsidP="00BC78C6">
      <w:pPr>
        <w:spacing w:after="0" w:line="240" w:lineRule="auto"/>
        <w:jc w:val="both"/>
        <w:rPr>
          <w:rFonts w:ascii="Arial" w:eastAsia="Times New Roman" w:hAnsi="Arial" w:cs="Arial"/>
          <w:sz w:val="20"/>
          <w:szCs w:val="20"/>
        </w:rPr>
      </w:pPr>
    </w:p>
    <w:p w14:paraId="3B2D4DB5" w14:textId="77777777" w:rsidR="00BC78C6" w:rsidRPr="00E74CF8" w:rsidRDefault="00BC78C6" w:rsidP="00BC78C6">
      <w:pPr>
        <w:spacing w:after="0" w:line="240" w:lineRule="auto"/>
        <w:jc w:val="both"/>
        <w:rPr>
          <w:rFonts w:ascii="Arial" w:hAnsi="Arial" w:cs="Arial"/>
          <w:sz w:val="20"/>
          <w:szCs w:val="20"/>
          <w:lang w:val="es-ES"/>
        </w:rPr>
      </w:pPr>
      <w:r w:rsidRPr="00E74CF8">
        <w:rPr>
          <w:rFonts w:ascii="Arial" w:eastAsia="Times New Roman" w:hAnsi="Arial" w:cs="Arial"/>
          <w:sz w:val="20"/>
          <w:szCs w:val="20"/>
        </w:rPr>
        <w:t xml:space="preserve">Năm 2018, Cục SHTT đã </w:t>
      </w:r>
      <w:hyperlink r:id="rId9" w:history="1">
        <w:r w:rsidRPr="002B5F17">
          <w:rPr>
            <w:rStyle w:val="Hyperlink"/>
            <w:rFonts w:ascii="Arial" w:eastAsia="Times New Roman" w:hAnsi="Arial" w:cs="Arial"/>
            <w:sz w:val="20"/>
            <w:szCs w:val="20"/>
          </w:rPr>
          <w:t>từ chối bảo hộ nhãn hiệu</w:t>
        </w:r>
      </w:hyperlink>
      <w:r w:rsidRPr="00E74CF8">
        <w:rPr>
          <w:rFonts w:ascii="Arial" w:eastAsia="Times New Roman" w:hAnsi="Arial" w:cs="Arial"/>
          <w:sz w:val="20"/>
          <w:szCs w:val="20"/>
        </w:rPr>
        <w:t xml:space="preserve"> (“</w:t>
      </w:r>
      <w:r w:rsidRPr="00EC26B7">
        <w:rPr>
          <w:rFonts w:ascii="Arial" w:eastAsia="Times New Roman" w:hAnsi="Arial" w:cs="Arial"/>
          <w:b/>
          <w:bCs/>
          <w:sz w:val="20"/>
          <w:szCs w:val="20"/>
        </w:rPr>
        <w:t>Zhong Wu, chữ Trung Quốc và hình</w:t>
      </w:r>
      <w:r w:rsidRPr="00E74CF8">
        <w:rPr>
          <w:rFonts w:ascii="Arial" w:eastAsia="Times New Roman" w:hAnsi="Arial" w:cs="Arial"/>
          <w:sz w:val="20"/>
          <w:szCs w:val="20"/>
        </w:rPr>
        <w:t>”) theo 3 điều luật</w:t>
      </w:r>
      <w:r>
        <w:rPr>
          <w:rFonts w:ascii="Arial" w:eastAsia="Times New Roman" w:hAnsi="Arial" w:cs="Arial"/>
          <w:sz w:val="20"/>
          <w:szCs w:val="20"/>
        </w:rPr>
        <w:t>:</w:t>
      </w:r>
      <w:r w:rsidRPr="00E74CF8">
        <w:rPr>
          <w:rFonts w:ascii="Arial" w:eastAsia="Times New Roman" w:hAnsi="Arial" w:cs="Arial"/>
          <w:sz w:val="20"/>
          <w:szCs w:val="20"/>
        </w:rPr>
        <w:t xml:space="preserve"> </w:t>
      </w:r>
      <w:r w:rsidRPr="00E74CF8">
        <w:rPr>
          <w:rFonts w:ascii="Arial" w:hAnsi="Arial" w:cs="Arial"/>
          <w:sz w:val="20"/>
          <w:szCs w:val="20"/>
          <w:lang w:val="es-ES"/>
        </w:rPr>
        <w:t>Điều 74.2(a), 74.2(e) và 74.2 (h) Luật Sở hữu Trí tuệ. Cụ thể:</w:t>
      </w:r>
    </w:p>
    <w:p w14:paraId="540AE568" w14:textId="77777777" w:rsidR="00BC78C6" w:rsidRPr="00E74CF8" w:rsidRDefault="00BC78C6" w:rsidP="00BC78C6">
      <w:pPr>
        <w:spacing w:after="0" w:line="240" w:lineRule="auto"/>
        <w:jc w:val="both"/>
        <w:rPr>
          <w:rFonts w:ascii="Arial" w:hAnsi="Arial" w:cs="Arial"/>
          <w:sz w:val="20"/>
          <w:szCs w:val="20"/>
          <w:lang w:val="es-ES"/>
        </w:rPr>
      </w:pPr>
    </w:p>
    <w:tbl>
      <w:tblPr>
        <w:tblStyle w:val="TableGrid"/>
        <w:tblW w:w="9355" w:type="dxa"/>
        <w:tblLook w:val="04A0" w:firstRow="1" w:lastRow="0" w:firstColumn="1" w:lastColumn="0" w:noHBand="0" w:noVBand="1"/>
      </w:tblPr>
      <w:tblGrid>
        <w:gridCol w:w="2430"/>
        <w:gridCol w:w="6925"/>
      </w:tblGrid>
      <w:tr w:rsidR="00BC78C6" w:rsidRPr="00E74CF8" w14:paraId="56BB94E2" w14:textId="77777777" w:rsidTr="00A74C71">
        <w:tc>
          <w:tcPr>
            <w:tcW w:w="2430" w:type="dxa"/>
          </w:tcPr>
          <w:p w14:paraId="410F99A7" w14:textId="77777777" w:rsidR="00BC78C6" w:rsidRPr="00A4033F" w:rsidRDefault="00BC78C6" w:rsidP="00A74C71">
            <w:pPr>
              <w:jc w:val="center"/>
              <w:rPr>
                <w:rFonts w:ascii="Arial" w:eastAsia="Times New Roman" w:hAnsi="Arial" w:cs="Arial"/>
                <w:b/>
                <w:bCs/>
                <w:sz w:val="20"/>
                <w:szCs w:val="20"/>
                <w:lang w:val="es-ES"/>
              </w:rPr>
            </w:pPr>
            <w:r w:rsidRPr="00A4033F">
              <w:rPr>
                <w:rFonts w:ascii="Arial" w:eastAsia="Times New Roman" w:hAnsi="Arial" w:cs="Arial"/>
                <w:b/>
                <w:bCs/>
                <w:sz w:val="20"/>
                <w:szCs w:val="20"/>
                <w:lang w:val="es-ES"/>
              </w:rPr>
              <w:t>Nhãn hiệu xin đăng ký</w:t>
            </w:r>
          </w:p>
        </w:tc>
        <w:tc>
          <w:tcPr>
            <w:tcW w:w="6925" w:type="dxa"/>
          </w:tcPr>
          <w:p w14:paraId="0E867177" w14:textId="77777777" w:rsidR="00BC78C6" w:rsidRPr="00E74CF8" w:rsidRDefault="00BC78C6" w:rsidP="00A74C71">
            <w:pPr>
              <w:jc w:val="center"/>
              <w:rPr>
                <w:rFonts w:ascii="Arial" w:eastAsia="Times New Roman" w:hAnsi="Arial" w:cs="Arial"/>
                <w:b/>
                <w:bCs/>
                <w:sz w:val="20"/>
                <w:szCs w:val="20"/>
              </w:rPr>
            </w:pPr>
            <w:r w:rsidRPr="00E74CF8">
              <w:rPr>
                <w:rFonts w:ascii="Arial" w:eastAsia="Times New Roman" w:hAnsi="Arial" w:cs="Arial"/>
                <w:b/>
                <w:bCs/>
                <w:sz w:val="20"/>
                <w:szCs w:val="20"/>
              </w:rPr>
              <w:t>Lý do từ chối</w:t>
            </w:r>
          </w:p>
        </w:tc>
      </w:tr>
      <w:tr w:rsidR="00BC78C6" w:rsidRPr="00E74CF8" w14:paraId="2C1107DB" w14:textId="77777777" w:rsidTr="00A74C71">
        <w:tc>
          <w:tcPr>
            <w:tcW w:w="2430" w:type="dxa"/>
          </w:tcPr>
          <w:p w14:paraId="754B73D8" w14:textId="77777777" w:rsidR="00BC78C6" w:rsidRPr="00E74CF8" w:rsidRDefault="00BC78C6" w:rsidP="00A74C71">
            <w:pPr>
              <w:jc w:val="both"/>
              <w:rPr>
                <w:rFonts w:ascii="Arial" w:hAnsi="Arial" w:cs="Arial"/>
                <w:noProof/>
                <w:sz w:val="20"/>
                <w:szCs w:val="20"/>
              </w:rPr>
            </w:pPr>
          </w:p>
          <w:p w14:paraId="6AA82C30" w14:textId="77777777" w:rsidR="00BC78C6" w:rsidRPr="00E74CF8" w:rsidRDefault="00BC78C6" w:rsidP="00A74C71">
            <w:pPr>
              <w:jc w:val="both"/>
              <w:rPr>
                <w:rFonts w:ascii="Arial" w:hAnsi="Arial" w:cs="Arial"/>
                <w:noProof/>
                <w:sz w:val="20"/>
                <w:szCs w:val="20"/>
              </w:rPr>
            </w:pPr>
          </w:p>
          <w:p w14:paraId="50B41E0E" w14:textId="77777777" w:rsidR="00BC78C6" w:rsidRPr="00E74CF8" w:rsidRDefault="00BC78C6" w:rsidP="00A74C71">
            <w:pPr>
              <w:jc w:val="both"/>
              <w:rPr>
                <w:rFonts w:ascii="Arial" w:hAnsi="Arial" w:cs="Arial"/>
                <w:noProof/>
                <w:sz w:val="20"/>
                <w:szCs w:val="20"/>
              </w:rPr>
            </w:pPr>
          </w:p>
          <w:p w14:paraId="28F1D927" w14:textId="77777777" w:rsidR="00BC78C6" w:rsidRPr="00E74CF8" w:rsidRDefault="00BC78C6" w:rsidP="00A74C71">
            <w:pPr>
              <w:jc w:val="both"/>
              <w:rPr>
                <w:rFonts w:ascii="Arial" w:hAnsi="Arial" w:cs="Arial"/>
                <w:noProof/>
                <w:sz w:val="20"/>
                <w:szCs w:val="20"/>
              </w:rPr>
            </w:pPr>
          </w:p>
          <w:p w14:paraId="61246D61" w14:textId="77777777" w:rsidR="00BC78C6" w:rsidRDefault="00BC78C6" w:rsidP="00A74C71">
            <w:pPr>
              <w:jc w:val="both"/>
              <w:rPr>
                <w:rFonts w:ascii="Arial" w:eastAsia="Times New Roman" w:hAnsi="Arial" w:cs="Arial"/>
                <w:sz w:val="20"/>
                <w:szCs w:val="20"/>
              </w:rPr>
            </w:pPr>
            <w:r w:rsidRPr="00E74CF8">
              <w:rPr>
                <w:rFonts w:ascii="Arial" w:hAnsi="Arial" w:cs="Arial"/>
                <w:noProof/>
                <w:sz w:val="20"/>
                <w:szCs w:val="20"/>
              </w:rPr>
              <w:drawing>
                <wp:inline distT="0" distB="0" distL="0" distR="0" wp14:anchorId="1FAFE69B" wp14:editId="3A2E86CD">
                  <wp:extent cx="1355382" cy="1238250"/>
                  <wp:effectExtent l="0" t="0" r="0" b="0"/>
                  <wp:docPr id="3" name="Picture 3" descr="Description: Zhong 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hong W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879" cy="1256976"/>
                          </a:xfrm>
                          <a:prstGeom prst="rect">
                            <a:avLst/>
                          </a:prstGeom>
                          <a:noFill/>
                          <a:ln>
                            <a:noFill/>
                          </a:ln>
                        </pic:spPr>
                      </pic:pic>
                    </a:graphicData>
                  </a:graphic>
                </wp:inline>
              </w:drawing>
            </w:r>
          </w:p>
          <w:p w14:paraId="4D8515A1" w14:textId="77777777" w:rsidR="00BC78C6" w:rsidRDefault="00BC78C6" w:rsidP="00A74C71">
            <w:pPr>
              <w:jc w:val="both"/>
              <w:rPr>
                <w:rFonts w:ascii="Arial" w:eastAsia="Times New Roman" w:hAnsi="Arial" w:cs="Arial"/>
                <w:sz w:val="20"/>
                <w:szCs w:val="20"/>
              </w:rPr>
            </w:pPr>
          </w:p>
          <w:p w14:paraId="059B90D7" w14:textId="77777777" w:rsidR="00BC78C6" w:rsidRPr="00E74CF8" w:rsidRDefault="00BC78C6" w:rsidP="00A74C71">
            <w:pPr>
              <w:jc w:val="center"/>
              <w:rPr>
                <w:rFonts w:ascii="Arial" w:eastAsia="Times New Roman" w:hAnsi="Arial" w:cs="Arial"/>
                <w:sz w:val="20"/>
                <w:szCs w:val="20"/>
              </w:rPr>
            </w:pPr>
            <w:r w:rsidRPr="00E74CF8">
              <w:rPr>
                <w:rFonts w:ascii="Arial" w:eastAsia="Times New Roman" w:hAnsi="Arial" w:cs="Arial"/>
                <w:sz w:val="20"/>
                <w:szCs w:val="20"/>
              </w:rPr>
              <w:t>(cho các sản phẩm “quần áo, trang phục” thuộc Nhóm 25)</w:t>
            </w:r>
          </w:p>
        </w:tc>
        <w:tc>
          <w:tcPr>
            <w:tcW w:w="6925" w:type="dxa"/>
          </w:tcPr>
          <w:p w14:paraId="3C10494B" w14:textId="77777777" w:rsidR="00BC78C6" w:rsidRPr="00E74CF8" w:rsidRDefault="00BC78C6" w:rsidP="00BC78C6">
            <w:pPr>
              <w:pStyle w:val="ListParagraph"/>
              <w:numPr>
                <w:ilvl w:val="0"/>
                <w:numId w:val="19"/>
              </w:numPr>
              <w:jc w:val="both"/>
              <w:rPr>
                <w:rFonts w:ascii="Arial" w:eastAsia="Times New Roman" w:hAnsi="Arial" w:cs="Arial"/>
                <w:sz w:val="20"/>
                <w:szCs w:val="20"/>
              </w:rPr>
            </w:pPr>
            <w:r w:rsidRPr="00E74CF8">
              <w:rPr>
                <w:rFonts w:ascii="Arial" w:eastAsia="Times New Roman" w:hAnsi="Arial" w:cs="Arial"/>
                <w:sz w:val="20"/>
                <w:szCs w:val="20"/>
              </w:rPr>
              <w:t>chứa hai chữ tiếng Trung Quốc “</w:t>
            </w:r>
            <w:r w:rsidRPr="00E74CF8">
              <w:rPr>
                <w:rFonts w:ascii="Arial" w:eastAsia="MS Gothic" w:hAnsi="Arial" w:cs="Arial"/>
                <w:sz w:val="20"/>
                <w:szCs w:val="20"/>
              </w:rPr>
              <w:t>中</w:t>
            </w:r>
            <w:r w:rsidRPr="00E74CF8">
              <w:rPr>
                <w:rFonts w:ascii="Arial" w:eastAsia="MS Mincho" w:hAnsi="Arial" w:cs="Arial"/>
                <w:sz w:val="20"/>
                <w:szCs w:val="20"/>
              </w:rPr>
              <w:t>武</w:t>
            </w:r>
            <w:r w:rsidRPr="00E74CF8">
              <w:rPr>
                <w:rFonts w:ascii="Arial" w:eastAsia="Times New Roman" w:hAnsi="Arial" w:cs="Arial"/>
                <w:sz w:val="20"/>
                <w:szCs w:val="20"/>
              </w:rPr>
              <w:t>” (theo Điều 74.2(a) do tiếng Trung Quốc không được coi là ngôn ngữ thông dụng tại Việt Nam)</w:t>
            </w:r>
          </w:p>
          <w:p w14:paraId="57D89D22" w14:textId="77777777" w:rsidR="00BC78C6" w:rsidRPr="00E74CF8" w:rsidRDefault="00BC78C6" w:rsidP="00A74C71">
            <w:pPr>
              <w:jc w:val="both"/>
              <w:rPr>
                <w:rFonts w:ascii="Arial" w:eastAsia="Times New Roman" w:hAnsi="Arial" w:cs="Arial"/>
                <w:sz w:val="20"/>
                <w:szCs w:val="20"/>
              </w:rPr>
            </w:pPr>
          </w:p>
        </w:tc>
      </w:tr>
      <w:tr w:rsidR="00BC78C6" w:rsidRPr="00E74CF8" w14:paraId="195CA88F" w14:textId="77777777" w:rsidTr="00A74C71">
        <w:tc>
          <w:tcPr>
            <w:tcW w:w="2430" w:type="dxa"/>
          </w:tcPr>
          <w:p w14:paraId="2467229E" w14:textId="77777777" w:rsidR="00BC78C6" w:rsidRPr="00E74CF8" w:rsidRDefault="00BC78C6" w:rsidP="00A74C71">
            <w:pPr>
              <w:jc w:val="both"/>
              <w:rPr>
                <w:rFonts w:ascii="Arial" w:eastAsia="Times New Roman" w:hAnsi="Arial" w:cs="Arial"/>
                <w:sz w:val="20"/>
                <w:szCs w:val="20"/>
              </w:rPr>
            </w:pPr>
          </w:p>
        </w:tc>
        <w:tc>
          <w:tcPr>
            <w:tcW w:w="6925" w:type="dxa"/>
          </w:tcPr>
          <w:p w14:paraId="23A7DADF" w14:textId="77777777" w:rsidR="00BC78C6" w:rsidRPr="00E74CF8" w:rsidRDefault="00BC78C6" w:rsidP="00BC78C6">
            <w:pPr>
              <w:pStyle w:val="ListParagraph"/>
              <w:numPr>
                <w:ilvl w:val="0"/>
                <w:numId w:val="19"/>
              </w:numPr>
              <w:jc w:val="both"/>
              <w:rPr>
                <w:rFonts w:ascii="Arial" w:eastAsia="Times New Roman" w:hAnsi="Arial" w:cs="Arial"/>
                <w:sz w:val="20"/>
                <w:szCs w:val="20"/>
              </w:rPr>
            </w:pPr>
            <w:r w:rsidRPr="00E74CF8">
              <w:rPr>
                <w:rFonts w:ascii="Arial" w:eastAsia="Times New Roman" w:hAnsi="Arial" w:cs="Arial"/>
                <w:sz w:val="20"/>
                <w:szCs w:val="20"/>
              </w:rPr>
              <w:t xml:space="preserve">tương tự gây nhầm lẫn </w:t>
            </w:r>
            <w:r w:rsidRPr="00BE02A4">
              <w:rPr>
                <w:rFonts w:ascii="Arial" w:eastAsia="Times New Roman" w:hAnsi="Arial" w:cs="Arial"/>
                <w:sz w:val="20"/>
                <w:szCs w:val="20"/>
              </w:rPr>
              <w:t>với một nhãn hiệu đã đăng ký trước</w:t>
            </w:r>
            <w:r w:rsidRPr="00E74CF8">
              <w:rPr>
                <w:rFonts w:ascii="Arial" w:eastAsia="Times New Roman" w:hAnsi="Arial" w:cs="Arial"/>
                <w:sz w:val="20"/>
                <w:szCs w:val="20"/>
              </w:rPr>
              <w:t xml:space="preserve"> (Phần “hình” trong nhãn hiệu xin đăng ký tương tự với phần “hình” trong nhãn hiệu đối chứng theo Điều 74.2(e)):</w:t>
            </w:r>
          </w:p>
          <w:p w14:paraId="79845DD2" w14:textId="77777777" w:rsidR="00BC78C6" w:rsidRPr="00E74CF8" w:rsidRDefault="00BC78C6" w:rsidP="00A74C71">
            <w:pPr>
              <w:jc w:val="center"/>
              <w:rPr>
                <w:rFonts w:ascii="Arial" w:eastAsia="Times New Roman" w:hAnsi="Arial" w:cs="Arial"/>
                <w:sz w:val="20"/>
                <w:szCs w:val="20"/>
              </w:rPr>
            </w:pPr>
            <w:r w:rsidRPr="00E74CF8">
              <w:rPr>
                <w:rFonts w:ascii="Arial" w:hAnsi="Arial" w:cs="Arial"/>
                <w:noProof/>
                <w:sz w:val="20"/>
                <w:szCs w:val="20"/>
              </w:rPr>
              <w:drawing>
                <wp:inline distT="0" distB="0" distL="0" distR="0" wp14:anchorId="25F62CAF" wp14:editId="701CF09D">
                  <wp:extent cx="1135016" cy="1057275"/>
                  <wp:effectExtent l="0" t="0" r="8255" b="0"/>
                  <wp:docPr id="5" name="Picture 5" descr="Description: http://iplib.noip.gov.vn/IPDLIMG/20132/25525182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iplib.noip.gov.vn/IPDLIMG/20132/25525182Pictu0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088" t="11905" r="7692" b="7143"/>
                          <a:stretch/>
                        </pic:blipFill>
                        <pic:spPr bwMode="auto">
                          <a:xfrm>
                            <a:off x="0" y="0"/>
                            <a:ext cx="1146969" cy="1068409"/>
                          </a:xfrm>
                          <a:prstGeom prst="rect">
                            <a:avLst/>
                          </a:prstGeom>
                          <a:noFill/>
                          <a:ln>
                            <a:noFill/>
                          </a:ln>
                          <a:extLst>
                            <a:ext uri="{53640926-AAD7-44D8-BBD7-CCE9431645EC}">
                              <a14:shadowObscured xmlns:a14="http://schemas.microsoft.com/office/drawing/2010/main"/>
                            </a:ext>
                          </a:extLst>
                        </pic:spPr>
                      </pic:pic>
                    </a:graphicData>
                  </a:graphic>
                </wp:inline>
              </w:drawing>
            </w:r>
          </w:p>
          <w:p w14:paraId="6610460F" w14:textId="77777777" w:rsidR="00BC78C6" w:rsidRPr="00E74CF8" w:rsidRDefault="00BC78C6" w:rsidP="00A74C71">
            <w:pPr>
              <w:jc w:val="center"/>
              <w:rPr>
                <w:rFonts w:ascii="Arial" w:eastAsia="Times New Roman" w:hAnsi="Arial" w:cs="Arial"/>
                <w:sz w:val="20"/>
                <w:szCs w:val="20"/>
              </w:rPr>
            </w:pPr>
            <w:r w:rsidRPr="00E74CF8">
              <w:rPr>
                <w:rFonts w:ascii="Arial" w:eastAsia="Times New Roman" w:hAnsi="Arial" w:cs="Arial"/>
                <w:sz w:val="20"/>
                <w:szCs w:val="20"/>
              </w:rPr>
              <w:t>(cho các sản phẩm “quần áo, trang phục” thuộc Nhóm 25)</w:t>
            </w:r>
          </w:p>
        </w:tc>
      </w:tr>
      <w:tr w:rsidR="00BC78C6" w:rsidRPr="00E74CF8" w14:paraId="1B0796FA" w14:textId="77777777" w:rsidTr="00A74C71">
        <w:tc>
          <w:tcPr>
            <w:tcW w:w="2430" w:type="dxa"/>
          </w:tcPr>
          <w:p w14:paraId="12BB3A23" w14:textId="77777777" w:rsidR="00BC78C6" w:rsidRPr="00E74CF8" w:rsidRDefault="00BC78C6" w:rsidP="00A74C71">
            <w:pPr>
              <w:jc w:val="both"/>
              <w:rPr>
                <w:rFonts w:ascii="Arial" w:eastAsia="Times New Roman" w:hAnsi="Arial" w:cs="Arial"/>
                <w:sz w:val="20"/>
                <w:szCs w:val="20"/>
              </w:rPr>
            </w:pPr>
          </w:p>
        </w:tc>
        <w:tc>
          <w:tcPr>
            <w:tcW w:w="6925" w:type="dxa"/>
          </w:tcPr>
          <w:p w14:paraId="33B20F6E" w14:textId="77777777" w:rsidR="00BC78C6" w:rsidRPr="00E74CF8" w:rsidRDefault="00BC78C6" w:rsidP="00BC78C6">
            <w:pPr>
              <w:pStyle w:val="ListParagraph"/>
              <w:numPr>
                <w:ilvl w:val="0"/>
                <w:numId w:val="19"/>
              </w:numPr>
              <w:jc w:val="both"/>
              <w:rPr>
                <w:rFonts w:ascii="Arial" w:eastAsia="Times New Roman" w:hAnsi="Arial" w:cs="Arial"/>
                <w:sz w:val="20"/>
                <w:szCs w:val="20"/>
              </w:rPr>
            </w:pPr>
            <w:r w:rsidRPr="00E74CF8">
              <w:rPr>
                <w:rFonts w:ascii="Arial" w:eastAsia="Times New Roman" w:hAnsi="Arial" w:cs="Arial"/>
                <w:sz w:val="20"/>
                <w:szCs w:val="20"/>
              </w:rPr>
              <w:t>tương tự gây nhầm lẫn với một nhãn hiệu hết hiệu lực nhưng chưa quá 5 năm (Phần chữ “Zhong” tương tự gây nhầm lẫn với phần chữ “ZHONGYU” của nhãn hiệu đối chứng theo Điều 74.2(h))</w:t>
            </w:r>
          </w:p>
          <w:p w14:paraId="5106CA13" w14:textId="77777777" w:rsidR="00BC78C6" w:rsidRPr="00E74CF8" w:rsidRDefault="00BC78C6" w:rsidP="00A74C71">
            <w:pPr>
              <w:jc w:val="center"/>
              <w:rPr>
                <w:rFonts w:ascii="Arial" w:eastAsia="Times New Roman" w:hAnsi="Arial" w:cs="Arial"/>
                <w:sz w:val="20"/>
                <w:szCs w:val="20"/>
              </w:rPr>
            </w:pPr>
            <w:r w:rsidRPr="00E74CF8">
              <w:rPr>
                <w:rFonts w:ascii="Arial" w:hAnsi="Arial" w:cs="Arial"/>
                <w:noProof/>
                <w:sz w:val="20"/>
                <w:szCs w:val="20"/>
              </w:rPr>
              <w:drawing>
                <wp:inline distT="0" distB="0" distL="0" distR="0" wp14:anchorId="2147BC56" wp14:editId="5810E81D">
                  <wp:extent cx="1343025" cy="771683"/>
                  <wp:effectExtent l="0" t="0" r="0" b="9525"/>
                  <wp:docPr id="4" name="Picture 4" descr="Description: ZHONG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HONGY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395" cy="783387"/>
                          </a:xfrm>
                          <a:prstGeom prst="rect">
                            <a:avLst/>
                          </a:prstGeom>
                          <a:noFill/>
                          <a:ln>
                            <a:noFill/>
                          </a:ln>
                        </pic:spPr>
                      </pic:pic>
                    </a:graphicData>
                  </a:graphic>
                </wp:inline>
              </w:drawing>
            </w:r>
          </w:p>
          <w:p w14:paraId="0C830FF3" w14:textId="77777777" w:rsidR="00BC78C6" w:rsidRPr="00E74CF8" w:rsidRDefault="00BC78C6" w:rsidP="00A74C71">
            <w:pPr>
              <w:jc w:val="center"/>
              <w:rPr>
                <w:rFonts w:ascii="Arial" w:eastAsia="Times New Roman" w:hAnsi="Arial" w:cs="Arial"/>
                <w:sz w:val="20"/>
                <w:szCs w:val="20"/>
              </w:rPr>
            </w:pPr>
            <w:r w:rsidRPr="00E74CF8">
              <w:rPr>
                <w:rFonts w:ascii="Arial" w:eastAsia="Times New Roman" w:hAnsi="Arial" w:cs="Arial"/>
                <w:sz w:val="20"/>
                <w:szCs w:val="20"/>
              </w:rPr>
              <w:t>(cho các sản phẩm “quần áo, trang phục” thuộc Nhóm 25)</w:t>
            </w:r>
          </w:p>
        </w:tc>
      </w:tr>
    </w:tbl>
    <w:p w14:paraId="0D37A30E" w14:textId="77777777" w:rsidR="00BC78C6" w:rsidRPr="00EC26B7" w:rsidRDefault="00BC78C6" w:rsidP="00BC78C6">
      <w:pPr>
        <w:spacing w:after="0" w:line="240" w:lineRule="auto"/>
        <w:jc w:val="both"/>
        <w:rPr>
          <w:rFonts w:ascii="Arial" w:eastAsia="Times New Roman" w:hAnsi="Arial" w:cs="Arial"/>
          <w:color w:val="2F5496" w:themeColor="accent1" w:themeShade="BF"/>
        </w:rPr>
      </w:pPr>
    </w:p>
    <w:p w14:paraId="2A770656" w14:textId="77777777" w:rsidR="00BC78C6" w:rsidRPr="00C97E4A" w:rsidRDefault="00BC78C6" w:rsidP="00BC78C6">
      <w:pPr>
        <w:spacing w:after="0" w:line="240" w:lineRule="auto"/>
        <w:jc w:val="both"/>
        <w:rPr>
          <w:rFonts w:ascii="Arial" w:hAnsi="Arial"/>
          <w:b/>
          <w:color w:val="2F5496" w:themeColor="accent1" w:themeShade="BF"/>
          <w:lang w:val="es-ES"/>
        </w:rPr>
      </w:pPr>
      <w:r w:rsidRPr="006B2382">
        <w:rPr>
          <w:rFonts w:ascii="Arial" w:hAnsi="Arial" w:cs="Arial"/>
          <w:b/>
          <w:bCs/>
        </w:rPr>
        <w:t>Chiến</w:t>
      </w:r>
      <w:r w:rsidRPr="00C97E4A">
        <w:rPr>
          <w:rFonts w:ascii="Arial" w:hAnsi="Arial" w:cs="Arial"/>
          <w:b/>
          <w:bCs/>
        </w:rPr>
        <w:t xml:space="preserve"> lược </w:t>
      </w:r>
      <w:r w:rsidRPr="003433E6">
        <w:rPr>
          <w:rFonts w:ascii="Arial" w:hAnsi="Arial" w:cs="Arial"/>
          <w:b/>
          <w:bCs/>
        </w:rPr>
        <w:t>khiếu nại</w:t>
      </w:r>
      <w:r w:rsidRPr="00EC26B7">
        <w:rPr>
          <w:rFonts w:ascii="Arial" w:hAnsi="Arial" w:cs="Arial"/>
          <w:b/>
          <w:bCs/>
        </w:rPr>
        <w:t xml:space="preserve"> từ chối bảo hộ nhãn hiệu</w:t>
      </w:r>
    </w:p>
    <w:p w14:paraId="333AD833" w14:textId="77777777" w:rsidR="00BC78C6" w:rsidRPr="00C97E4A" w:rsidRDefault="00BC78C6" w:rsidP="00BC78C6">
      <w:pPr>
        <w:spacing w:after="0" w:line="240" w:lineRule="auto"/>
        <w:jc w:val="both"/>
        <w:rPr>
          <w:rFonts w:ascii="Arial" w:hAnsi="Arial"/>
          <w:b/>
          <w:color w:val="2F5496" w:themeColor="accent1" w:themeShade="BF"/>
          <w:lang w:val="es-ES"/>
        </w:rPr>
      </w:pPr>
    </w:p>
    <w:p w14:paraId="7384F6E3" w14:textId="514E3C93" w:rsidR="00BC78C6" w:rsidRPr="00C97E4A" w:rsidRDefault="00BC78C6" w:rsidP="00BC78C6">
      <w:pPr>
        <w:spacing w:after="0" w:line="240" w:lineRule="auto"/>
        <w:jc w:val="both"/>
        <w:rPr>
          <w:rFonts w:ascii="Arial" w:hAnsi="Arial"/>
          <w:b/>
          <w:color w:val="2F5496" w:themeColor="accent1" w:themeShade="BF"/>
          <w:lang w:val="es-ES"/>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D0E86C7" wp14:editId="22616D80">
                <wp:simplePos x="0" y="0"/>
                <wp:positionH relativeFrom="column">
                  <wp:posOffset>6372225</wp:posOffset>
                </wp:positionH>
                <wp:positionV relativeFrom="paragraph">
                  <wp:posOffset>-287655</wp:posOffset>
                </wp:positionV>
                <wp:extent cx="3467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466A7" w14:textId="77777777" w:rsidR="00BC78C6" w:rsidRPr="00BA68B8" w:rsidRDefault="00BC78C6" w:rsidP="00BC78C6">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E86C7" id="Rectangle 11" o:spid="_x0000_s1028" style="position:absolute;left:0;text-align:left;margin-left:501.75pt;margin-top:-22.6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koQ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" fillcolor="#00b39c" strokecolor="#00b39c" strokeweight="0">
                <v:textbox style="layout-flow:vertical">
                  <w:txbxContent>
                    <w:p w14:paraId="3D8466A7" w14:textId="77777777" w:rsidR="00BC78C6" w:rsidRPr="00BA68B8" w:rsidRDefault="00BC78C6" w:rsidP="00BC78C6">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v:textbox>
              </v:rect>
            </w:pict>
          </mc:Fallback>
        </mc:AlternateContent>
      </w:r>
      <w:r w:rsidRPr="00A4033F">
        <w:rPr>
          <w:rFonts w:ascii="Arial" w:hAnsi="Arial" w:cs="Arial"/>
          <w:sz w:val="20"/>
          <w:szCs w:val="20"/>
          <w:lang w:val="es-ES"/>
        </w:rPr>
        <w:t>Nhãn hiệu vướng phải 3 lý do từ chối thường bị coi là "án tử", khiến nhiều người cho rằng cơ hội khiếu nại thành công là rất thấp. Việc nhãn hiệu bị từ chối với “nhiều” căn cứ chắc chắn sẽ làm giảm khả năng bảo hộ. Tuy nhiên, không vì thế mà mọi cánh cửa đã khép lại. Bênh cạnh việc nắm rõ các lý do từ chối, chìa khóa thành công nằm ở việc xây dựng lập luận sắc bén, thu thập chứng cứ thuyết phục và tìm kiếm sự hỗ trợ của đại diện sở hữu trí tuệ giàu kinh nghiệm.</w:t>
      </w:r>
    </w:p>
    <w:p w14:paraId="4F0064EA" w14:textId="68BBB931" w:rsidR="00BC78C6" w:rsidRPr="00C97E4A" w:rsidRDefault="00BC78C6" w:rsidP="00BC78C6">
      <w:pPr>
        <w:spacing w:after="0" w:line="240" w:lineRule="auto"/>
        <w:jc w:val="both"/>
        <w:rPr>
          <w:rFonts w:ascii="Arial" w:hAnsi="Arial"/>
          <w:sz w:val="20"/>
          <w:lang w:val="es-ES"/>
        </w:rPr>
      </w:pPr>
    </w:p>
    <w:p w14:paraId="5D2C47FD" w14:textId="53A9A2D0" w:rsidR="00BC78C6" w:rsidRPr="006B2382" w:rsidRDefault="00BC78C6" w:rsidP="00BC78C6">
      <w:pPr>
        <w:spacing w:after="0" w:line="240" w:lineRule="auto"/>
        <w:jc w:val="both"/>
        <w:rPr>
          <w:rFonts w:ascii="Arial" w:hAnsi="Arial" w:cs="Arial"/>
          <w:color w:val="2F5496" w:themeColor="accent1" w:themeShade="BF"/>
        </w:rPr>
      </w:pPr>
      <w:r w:rsidRPr="006B2382">
        <w:rPr>
          <w:rFonts w:ascii="Arial" w:hAnsi="Arial" w:cs="Arial"/>
          <w:b/>
          <w:bCs/>
          <w:color w:val="2F5496" w:themeColor="accent1" w:themeShade="BF"/>
        </w:rPr>
        <w:t>1. Hiểu rõ lý do từ chối</w:t>
      </w:r>
    </w:p>
    <w:p w14:paraId="06D28CBB" w14:textId="0EF51A56" w:rsidR="00BC78C6" w:rsidRPr="00E74CF8" w:rsidRDefault="00BC78C6" w:rsidP="00BC78C6">
      <w:pPr>
        <w:spacing w:after="0" w:line="240" w:lineRule="auto"/>
        <w:jc w:val="both"/>
        <w:rPr>
          <w:rFonts w:ascii="Arial" w:hAnsi="Arial" w:cs="Arial"/>
          <w:sz w:val="20"/>
          <w:szCs w:val="20"/>
        </w:rPr>
      </w:pPr>
    </w:p>
    <w:p w14:paraId="566D90EA" w14:textId="0FB9EE57" w:rsidR="00BC78C6" w:rsidRPr="009347EB" w:rsidRDefault="00BC78C6" w:rsidP="00BC78C6">
      <w:pPr>
        <w:spacing w:after="0" w:line="240" w:lineRule="auto"/>
        <w:jc w:val="both"/>
        <w:rPr>
          <w:rFonts w:ascii="Arial" w:hAnsi="Arial" w:cs="Arial"/>
          <w:sz w:val="20"/>
          <w:szCs w:val="20"/>
        </w:rPr>
      </w:pPr>
      <w:r w:rsidRPr="009347EB">
        <w:rPr>
          <w:rFonts w:ascii="Arial" w:hAnsi="Arial" w:cs="Arial"/>
          <w:sz w:val="20"/>
          <w:szCs w:val="20"/>
        </w:rPr>
        <w:t xml:space="preserve">Thông báo kết quả thẩm định nội dung </w:t>
      </w:r>
      <w:hyperlink r:id="rId13" w:history="1">
        <w:r w:rsidRPr="006C2E22">
          <w:rPr>
            <w:rStyle w:val="Hyperlink"/>
            <w:rFonts w:ascii="Arial" w:hAnsi="Arial" w:cs="Arial"/>
            <w:sz w:val="20"/>
            <w:szCs w:val="20"/>
          </w:rPr>
          <w:t>nhãn hiệu tại Việt Nam</w:t>
        </w:r>
      </w:hyperlink>
      <w:r w:rsidRPr="009347EB">
        <w:rPr>
          <w:rFonts w:ascii="Arial" w:hAnsi="Arial" w:cs="Arial"/>
          <w:sz w:val="20"/>
          <w:szCs w:val="20"/>
        </w:rPr>
        <w:t xml:space="preserve"> thường khá chung chung, chỉ nêu cơ sở từ chối và điều luật áp dụng mà không phân tích cụ thể lý do từ chối. Điều này gây khó khăn cho người nộp đơn trong việc xác định nguyên nhân thực sự dẫn đến việc nhãn hiệu bị từ chối, từ đó gặp trở ngại khi xây dựng lập luận và thu thập bằng chứng để khiếu nại hiệu quả.</w:t>
      </w:r>
    </w:p>
    <w:p w14:paraId="445D3693" w14:textId="7A91016D" w:rsidR="00BC78C6" w:rsidRDefault="00BC78C6" w:rsidP="00BC78C6">
      <w:pPr>
        <w:spacing w:after="0" w:line="240" w:lineRule="auto"/>
        <w:jc w:val="both"/>
        <w:rPr>
          <w:rFonts w:ascii="Arial" w:hAnsi="Arial" w:cs="Arial"/>
          <w:sz w:val="20"/>
          <w:szCs w:val="20"/>
        </w:rPr>
      </w:pPr>
    </w:p>
    <w:p w14:paraId="47038FE0" w14:textId="5E8FE4ED" w:rsidR="00BC78C6" w:rsidRDefault="00BC78C6" w:rsidP="00BC78C6">
      <w:pPr>
        <w:spacing w:after="0" w:line="240" w:lineRule="auto"/>
        <w:jc w:val="both"/>
        <w:rPr>
          <w:rFonts w:ascii="Arial" w:hAnsi="Arial" w:cs="Arial"/>
          <w:sz w:val="20"/>
          <w:szCs w:val="20"/>
        </w:rPr>
      </w:pPr>
      <w:r>
        <w:rPr>
          <w:rFonts w:ascii="Arial" w:hAnsi="Arial" w:cs="Arial"/>
          <w:sz w:val="20"/>
          <w:szCs w:val="20"/>
        </w:rPr>
        <w:t>Trong trường hợp này, có thể thấy, t</w:t>
      </w:r>
      <w:r w:rsidRPr="00E74CF8">
        <w:rPr>
          <w:rFonts w:ascii="Arial" w:hAnsi="Arial" w:cs="Arial"/>
          <w:sz w:val="20"/>
          <w:szCs w:val="20"/>
        </w:rPr>
        <w:t xml:space="preserve">hẩm định viên từ chối nhãn hiệu xin đăng ký vì cho rằng </w:t>
      </w:r>
      <w:r>
        <w:rPr>
          <w:rFonts w:ascii="Arial" w:hAnsi="Arial" w:cs="Arial"/>
          <w:sz w:val="20"/>
          <w:szCs w:val="20"/>
        </w:rPr>
        <w:t xml:space="preserve">nó </w:t>
      </w:r>
      <w:r w:rsidRPr="00E74CF8">
        <w:rPr>
          <w:rFonts w:ascii="Arial" w:hAnsi="Arial" w:cs="Arial"/>
          <w:sz w:val="20"/>
          <w:szCs w:val="20"/>
        </w:rPr>
        <w:t>quá giống với hai nhãn hiệu đối chứng, có khả năng gây ra nguy cơ nhầm lẫn cho người tiêu dùng.</w:t>
      </w:r>
      <w:r>
        <w:rPr>
          <w:rFonts w:ascii="Arial" w:hAnsi="Arial" w:cs="Arial"/>
          <w:sz w:val="20"/>
          <w:szCs w:val="20"/>
        </w:rPr>
        <w:t xml:space="preserve"> Cụ thể:</w:t>
      </w:r>
    </w:p>
    <w:p w14:paraId="6EB3627B" w14:textId="77777777" w:rsidR="00BC78C6" w:rsidRPr="00E74CF8" w:rsidRDefault="00BC78C6" w:rsidP="00BC78C6">
      <w:pPr>
        <w:pStyle w:val="ListParagraph"/>
        <w:numPr>
          <w:ilvl w:val="0"/>
          <w:numId w:val="29"/>
        </w:numPr>
        <w:spacing w:after="0" w:line="240" w:lineRule="auto"/>
        <w:ind w:left="360"/>
        <w:jc w:val="both"/>
        <w:rPr>
          <w:rFonts w:ascii="Arial" w:eastAsia="Times New Roman" w:hAnsi="Arial" w:cs="Arial"/>
          <w:sz w:val="20"/>
          <w:szCs w:val="20"/>
        </w:rPr>
      </w:pPr>
      <w:r w:rsidRPr="00E74CF8">
        <w:rPr>
          <w:rFonts w:ascii="Arial" w:eastAsia="Times New Roman" w:hAnsi="Arial" w:cs="Arial"/>
          <w:b/>
          <w:bCs/>
          <w:sz w:val="20"/>
          <w:szCs w:val="20"/>
        </w:rPr>
        <w:t>Sự tương tự về phần "hình"</w:t>
      </w:r>
      <w:r w:rsidRPr="00E74CF8">
        <w:rPr>
          <w:rFonts w:ascii="Arial" w:eastAsia="Times New Roman" w:hAnsi="Arial" w:cs="Arial"/>
          <w:sz w:val="20"/>
          <w:szCs w:val="20"/>
        </w:rPr>
        <w:t>: Thẩm định viên cho rằng phần hình “</w:t>
      </w:r>
      <w:r w:rsidRPr="00E74CF8">
        <w:rPr>
          <w:rFonts w:ascii="Arial" w:hAnsi="Arial" w:cs="Arial"/>
          <w:noProof/>
          <w:sz w:val="20"/>
          <w:szCs w:val="20"/>
          <w:lang w:eastAsia="ko-KR"/>
        </w:rPr>
        <w:drawing>
          <wp:inline distT="0" distB="0" distL="0" distR="0" wp14:anchorId="1BA57535" wp14:editId="358E2F79">
            <wp:extent cx="466160" cy="4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57" b="1"/>
                    <a:stretch/>
                  </pic:blipFill>
                  <pic:spPr bwMode="auto">
                    <a:xfrm>
                      <a:off x="0" y="0"/>
                      <a:ext cx="488807" cy="448489"/>
                    </a:xfrm>
                    <a:prstGeom prst="rect">
                      <a:avLst/>
                    </a:prstGeom>
                    <a:ln>
                      <a:noFill/>
                    </a:ln>
                    <a:extLst>
                      <a:ext uri="{53640926-AAD7-44D8-BBD7-CCE9431645EC}">
                        <a14:shadowObscured xmlns:a14="http://schemas.microsoft.com/office/drawing/2010/main"/>
                      </a:ext>
                    </a:extLst>
                  </pic:spPr>
                </pic:pic>
              </a:graphicData>
            </a:graphic>
          </wp:inline>
        </w:drawing>
      </w:r>
      <w:r w:rsidRPr="00E74CF8">
        <w:rPr>
          <w:rFonts w:ascii="Arial" w:eastAsia="Times New Roman" w:hAnsi="Arial" w:cs="Arial"/>
          <w:sz w:val="20"/>
          <w:szCs w:val="20"/>
        </w:rPr>
        <w:t>” của nhãn hiệu xin đăng ký giống với phần hình “</w:t>
      </w:r>
      <w:r w:rsidRPr="00E74CF8">
        <w:rPr>
          <w:rFonts w:ascii="Arial" w:hAnsi="Arial" w:cs="Arial"/>
          <w:noProof/>
          <w:sz w:val="20"/>
          <w:szCs w:val="20"/>
          <w:lang w:eastAsia="ko-KR"/>
        </w:rPr>
        <w:drawing>
          <wp:inline distT="0" distB="0" distL="0" distR="0" wp14:anchorId="2ABFF7CB" wp14:editId="2192017D">
            <wp:extent cx="552450" cy="411519"/>
            <wp:effectExtent l="0" t="0" r="0" b="7620"/>
            <wp:docPr id="10" name="Picture 10" descr="Description: http://iplib.noip.gov.vn/IPDLIMG/20132/25525182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iplib.noip.gov.vn/IPDLIMG/20132/25525182Pictu0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842" t="11905" r="13169" b="34843"/>
                    <a:stretch/>
                  </pic:blipFill>
                  <pic:spPr bwMode="auto">
                    <a:xfrm>
                      <a:off x="0" y="0"/>
                      <a:ext cx="567931" cy="423051"/>
                    </a:xfrm>
                    <a:prstGeom prst="rect">
                      <a:avLst/>
                    </a:prstGeom>
                    <a:noFill/>
                    <a:ln>
                      <a:noFill/>
                    </a:ln>
                    <a:extLst>
                      <a:ext uri="{53640926-AAD7-44D8-BBD7-CCE9431645EC}">
                        <a14:shadowObscured xmlns:a14="http://schemas.microsoft.com/office/drawing/2010/main"/>
                      </a:ext>
                    </a:extLst>
                  </pic:spPr>
                </pic:pic>
              </a:graphicData>
            </a:graphic>
          </wp:inline>
        </w:drawing>
      </w:r>
      <w:r w:rsidRPr="00E74CF8">
        <w:rPr>
          <w:rFonts w:ascii="Arial" w:eastAsia="Times New Roman" w:hAnsi="Arial" w:cs="Arial"/>
          <w:sz w:val="20"/>
          <w:szCs w:val="20"/>
        </w:rPr>
        <w:t>” của nhãn hiệu đối chứng. Cụ thể, cả hai nhãn hiệu đều sử dụng hình ảnh cách điệu chữ "W" với bố cục và hình dáng tổng thể tương tự nhau, dễ gây nhầm lẫn cho người tiêu dùng, đặc biệt là khi nhìn lướt qua.</w:t>
      </w:r>
    </w:p>
    <w:p w14:paraId="72D60E47" w14:textId="77777777" w:rsidR="00BC78C6" w:rsidRPr="00E74CF8" w:rsidRDefault="00BC78C6" w:rsidP="00BC78C6">
      <w:pPr>
        <w:spacing w:after="0" w:line="240" w:lineRule="auto"/>
        <w:ind w:left="360" w:hanging="360"/>
        <w:jc w:val="both"/>
        <w:rPr>
          <w:rFonts w:ascii="Arial" w:eastAsia="Times New Roman" w:hAnsi="Arial" w:cs="Arial"/>
          <w:b/>
          <w:bCs/>
          <w:sz w:val="20"/>
          <w:szCs w:val="20"/>
        </w:rPr>
      </w:pPr>
    </w:p>
    <w:p w14:paraId="18EEB4E7" w14:textId="77777777" w:rsidR="00BC78C6" w:rsidRPr="00E74CF8" w:rsidRDefault="00BC78C6" w:rsidP="00BC78C6">
      <w:pPr>
        <w:pStyle w:val="ListParagraph"/>
        <w:numPr>
          <w:ilvl w:val="0"/>
          <w:numId w:val="29"/>
        </w:numPr>
        <w:spacing w:after="0" w:line="240" w:lineRule="auto"/>
        <w:ind w:left="360"/>
        <w:jc w:val="both"/>
        <w:rPr>
          <w:rFonts w:ascii="Arial" w:eastAsia="Times New Roman" w:hAnsi="Arial" w:cs="Arial"/>
          <w:sz w:val="20"/>
          <w:szCs w:val="20"/>
        </w:rPr>
      </w:pPr>
      <w:r w:rsidRPr="00E74CF8">
        <w:rPr>
          <w:rFonts w:ascii="Arial" w:eastAsia="Times New Roman" w:hAnsi="Arial" w:cs="Arial"/>
          <w:b/>
          <w:bCs/>
          <w:sz w:val="20"/>
          <w:szCs w:val="20"/>
        </w:rPr>
        <w:t>Sự tương tự về phần chữ "Zhong"</w:t>
      </w:r>
      <w:r w:rsidRPr="00E74CF8">
        <w:rPr>
          <w:rFonts w:ascii="Arial" w:eastAsia="Times New Roman" w:hAnsi="Arial" w:cs="Arial"/>
          <w:sz w:val="20"/>
          <w:szCs w:val="20"/>
        </w:rPr>
        <w:t>: Thẩm định viên cũng nhận thấy sự tương đồng giữa phần chữ "Zhong" trong nhãn hiệu xin đăng ký và phần chữ "ZHONGYU" của nhãn hiệu đối chứng đã hết hiệu lực (nhưng chưa quá 5 năm). Sự tương tự này thể hiện ở cả khía cạnh ngữ âm (phát âm) và thị giác (hình thức thể hiện).</w:t>
      </w:r>
    </w:p>
    <w:p w14:paraId="189EC62E" w14:textId="77777777" w:rsidR="00BC78C6" w:rsidRPr="00E74CF8" w:rsidRDefault="00BC78C6" w:rsidP="00BC78C6">
      <w:pPr>
        <w:spacing w:after="0" w:line="240" w:lineRule="auto"/>
        <w:ind w:left="360" w:hanging="360"/>
        <w:jc w:val="both"/>
        <w:rPr>
          <w:rFonts w:ascii="Arial" w:eastAsia="Times New Roman" w:hAnsi="Arial" w:cs="Arial"/>
          <w:b/>
          <w:bCs/>
          <w:sz w:val="20"/>
          <w:szCs w:val="20"/>
        </w:rPr>
      </w:pPr>
    </w:p>
    <w:p w14:paraId="1E259866" w14:textId="77777777" w:rsidR="00BC78C6" w:rsidRPr="00E74CF8" w:rsidRDefault="00BC78C6" w:rsidP="00BC78C6">
      <w:pPr>
        <w:pStyle w:val="ListParagraph"/>
        <w:numPr>
          <w:ilvl w:val="0"/>
          <w:numId w:val="29"/>
        </w:numPr>
        <w:spacing w:after="0" w:line="240" w:lineRule="auto"/>
        <w:ind w:left="360"/>
        <w:jc w:val="both"/>
        <w:rPr>
          <w:rFonts w:ascii="Arial" w:eastAsia="Times New Roman" w:hAnsi="Arial" w:cs="Arial"/>
          <w:sz w:val="20"/>
          <w:szCs w:val="20"/>
        </w:rPr>
      </w:pPr>
      <w:r w:rsidRPr="00E74CF8">
        <w:rPr>
          <w:rFonts w:ascii="Arial" w:eastAsia="Times New Roman" w:hAnsi="Arial" w:cs="Arial"/>
          <w:b/>
          <w:bCs/>
          <w:sz w:val="20"/>
          <w:szCs w:val="20"/>
        </w:rPr>
        <w:t>Nguy cơ gây nhầm lẫn</w:t>
      </w:r>
      <w:r w:rsidRPr="00E74CF8">
        <w:rPr>
          <w:rFonts w:ascii="Arial" w:eastAsia="Times New Roman" w:hAnsi="Arial" w:cs="Arial"/>
          <w:sz w:val="20"/>
          <w:szCs w:val="20"/>
        </w:rPr>
        <w:t xml:space="preserve">: Theo thẩm định viên, sự tương </w:t>
      </w:r>
      <w:r>
        <w:rPr>
          <w:rFonts w:ascii="Arial" w:eastAsia="Times New Roman" w:hAnsi="Arial" w:cs="Arial"/>
          <w:sz w:val="20"/>
          <w:szCs w:val="20"/>
        </w:rPr>
        <w:t>tự</w:t>
      </w:r>
      <w:r w:rsidRPr="00E74CF8">
        <w:rPr>
          <w:rFonts w:ascii="Arial" w:eastAsia="Times New Roman" w:hAnsi="Arial" w:cs="Arial"/>
          <w:sz w:val="20"/>
          <w:szCs w:val="20"/>
        </w:rPr>
        <w:t xml:space="preserve"> về cả phần "hình" và phần chữ "Zhong" có thể khiến người tiêu dùng nhầm lẫn về nguồn gốc thương mại của sản phẩm. Đặc biệt, với các sản phẩm thuộc nhóm 25 (quần áo, giày dép), người tiêu dùng thường không có nhiều thời gian để quan sát kỹ nhãn hiệu, càng làm tăng nguy cơ nhầm lẫn.</w:t>
      </w:r>
    </w:p>
    <w:p w14:paraId="235431AF" w14:textId="77777777" w:rsidR="00BC78C6" w:rsidRDefault="00BC78C6" w:rsidP="00BC78C6">
      <w:pPr>
        <w:spacing w:after="0" w:line="240" w:lineRule="auto"/>
        <w:jc w:val="both"/>
        <w:rPr>
          <w:rFonts w:ascii="Arial" w:hAnsi="Arial" w:cs="Arial"/>
          <w:sz w:val="20"/>
          <w:szCs w:val="20"/>
        </w:rPr>
      </w:pPr>
    </w:p>
    <w:p w14:paraId="7002DBFD" w14:textId="77777777" w:rsidR="00BC78C6" w:rsidRPr="006B2382" w:rsidRDefault="00BC78C6" w:rsidP="00BC78C6">
      <w:pPr>
        <w:spacing w:after="0" w:line="240" w:lineRule="auto"/>
        <w:jc w:val="both"/>
        <w:rPr>
          <w:rFonts w:ascii="Arial" w:hAnsi="Arial" w:cs="Arial"/>
          <w:b/>
          <w:bCs/>
          <w:color w:val="2F5496" w:themeColor="accent1" w:themeShade="BF"/>
        </w:rPr>
      </w:pPr>
      <w:r w:rsidRPr="006B2382">
        <w:rPr>
          <w:rFonts w:ascii="Arial" w:hAnsi="Arial" w:cs="Arial"/>
          <w:b/>
          <w:bCs/>
          <w:color w:val="2F5496" w:themeColor="accent1" w:themeShade="BF"/>
        </w:rPr>
        <w:t>2. Phân tích sự khác biệt về phần “hình” trong các nhãn hiệu hỗn hợp: Nguyên tắc nào?</w:t>
      </w:r>
    </w:p>
    <w:p w14:paraId="38BE7BD0" w14:textId="77777777" w:rsidR="00BC78C6" w:rsidRPr="00E74CF8" w:rsidRDefault="00BC78C6" w:rsidP="00BC78C6">
      <w:pPr>
        <w:spacing w:after="0" w:line="240" w:lineRule="auto"/>
        <w:jc w:val="both"/>
        <w:rPr>
          <w:rFonts w:ascii="Arial" w:hAnsi="Arial" w:cs="Arial"/>
          <w:sz w:val="20"/>
          <w:szCs w:val="20"/>
        </w:rPr>
      </w:pPr>
    </w:p>
    <w:p w14:paraId="7EA09A9F" w14:textId="77777777" w:rsidR="00BC78C6" w:rsidRPr="00E74CF8" w:rsidRDefault="00BC78C6" w:rsidP="00BC78C6">
      <w:pPr>
        <w:spacing w:after="0" w:line="240" w:lineRule="auto"/>
        <w:jc w:val="both"/>
        <w:rPr>
          <w:rFonts w:ascii="Arial" w:hAnsi="Arial" w:cs="Arial"/>
          <w:sz w:val="20"/>
          <w:szCs w:val="20"/>
        </w:rPr>
      </w:pPr>
      <w:r w:rsidRPr="00E74CF8">
        <w:rPr>
          <w:rFonts w:ascii="Arial" w:hAnsi="Arial" w:cs="Arial"/>
          <w:sz w:val="20"/>
          <w:szCs w:val="20"/>
        </w:rPr>
        <w:t xml:space="preserve">Trong trường hợp </w:t>
      </w:r>
      <w:r w:rsidRPr="00EB6B47">
        <w:rPr>
          <w:rFonts w:ascii="Arial" w:hAnsi="Arial" w:cs="Arial"/>
          <w:i/>
          <w:iCs/>
          <w:sz w:val="20"/>
          <w:szCs w:val="20"/>
        </w:rPr>
        <w:t>h</w:t>
      </w:r>
      <w:r w:rsidRPr="00E74CF8">
        <w:rPr>
          <w:rFonts w:ascii="Arial" w:hAnsi="Arial" w:cs="Arial"/>
          <w:sz w:val="20"/>
          <w:szCs w:val="20"/>
        </w:rPr>
        <w:t>a</w:t>
      </w:r>
      <w:r w:rsidRPr="00E74CF8">
        <w:rPr>
          <w:rFonts w:ascii="Arial" w:hAnsi="Arial" w:cs="Arial"/>
          <w:i/>
          <w:sz w:val="20"/>
          <w:szCs w:val="20"/>
        </w:rPr>
        <w:t xml:space="preserve">i nhãn hiệu hỗn hợp </w:t>
      </w:r>
      <w:r w:rsidRPr="00E74CF8">
        <w:rPr>
          <w:rFonts w:ascii="Arial" w:hAnsi="Arial" w:cs="Arial"/>
          <w:sz w:val="20"/>
          <w:szCs w:val="20"/>
        </w:rPr>
        <w:t xml:space="preserve">(cả hai nhãn hiệu đều chứa phần </w:t>
      </w:r>
      <w:r>
        <w:rPr>
          <w:rFonts w:ascii="Arial" w:hAnsi="Arial" w:cs="Arial"/>
          <w:sz w:val="20"/>
          <w:szCs w:val="20"/>
        </w:rPr>
        <w:t>“</w:t>
      </w:r>
      <w:r w:rsidRPr="00E74CF8">
        <w:rPr>
          <w:rFonts w:ascii="Arial" w:hAnsi="Arial" w:cs="Arial"/>
          <w:sz w:val="20"/>
          <w:szCs w:val="20"/>
        </w:rPr>
        <w:t>chữ</w:t>
      </w:r>
      <w:r>
        <w:rPr>
          <w:rFonts w:ascii="Arial" w:hAnsi="Arial" w:cs="Arial"/>
          <w:sz w:val="20"/>
          <w:szCs w:val="20"/>
        </w:rPr>
        <w:t>”</w:t>
      </w:r>
      <w:r w:rsidRPr="00E74CF8">
        <w:rPr>
          <w:rFonts w:ascii="Arial" w:hAnsi="Arial" w:cs="Arial"/>
          <w:sz w:val="20"/>
          <w:szCs w:val="20"/>
        </w:rPr>
        <w:t xml:space="preserve"> và phần </w:t>
      </w:r>
      <w:r>
        <w:rPr>
          <w:rFonts w:ascii="Arial" w:hAnsi="Arial" w:cs="Arial"/>
          <w:sz w:val="20"/>
          <w:szCs w:val="20"/>
        </w:rPr>
        <w:t>“</w:t>
      </w:r>
      <w:r w:rsidRPr="00E74CF8">
        <w:rPr>
          <w:rFonts w:ascii="Arial" w:hAnsi="Arial" w:cs="Arial"/>
          <w:sz w:val="20"/>
          <w:szCs w:val="20"/>
        </w:rPr>
        <w:t>hình</w:t>
      </w:r>
      <w:r>
        <w:rPr>
          <w:rFonts w:ascii="Arial" w:hAnsi="Arial" w:cs="Arial"/>
          <w:sz w:val="20"/>
          <w:szCs w:val="20"/>
        </w:rPr>
        <w:t>”</w:t>
      </w:r>
      <w:r w:rsidRPr="00E74CF8">
        <w:rPr>
          <w:rFonts w:ascii="Arial" w:hAnsi="Arial" w:cs="Arial"/>
          <w:sz w:val="20"/>
          <w:szCs w:val="20"/>
        </w:rPr>
        <w:t>), nhìn chung, sự tương tự về phần “hình” có thể có nếu các chữ cái hoặc từ giống nhau, cùng vị trí và các yếu tố hình (kiểu chữ, font chữ, màu sắc) không đủ mạnh đế gây ấn tượng khác biệt đáng</w:t>
      </w:r>
      <w:r w:rsidRPr="00E74CF8">
        <w:rPr>
          <w:rFonts w:ascii="Arial" w:hAnsi="Arial" w:cs="Arial"/>
          <w:spacing w:val="-14"/>
          <w:sz w:val="20"/>
          <w:szCs w:val="20"/>
        </w:rPr>
        <w:t xml:space="preserve"> </w:t>
      </w:r>
      <w:r w:rsidRPr="00E74CF8">
        <w:rPr>
          <w:rFonts w:ascii="Arial" w:hAnsi="Arial" w:cs="Arial"/>
          <w:sz w:val="20"/>
          <w:szCs w:val="20"/>
        </w:rPr>
        <w:t>kể. Tuy nhiên, nếu một số ký tự hoặc chỉ một phần của từ hoặc các từ giống nhau trong hai dấu hiệu, và “</w:t>
      </w:r>
      <w:r w:rsidRPr="00E74CF8">
        <w:rPr>
          <w:rFonts w:ascii="Arial" w:hAnsi="Arial" w:cs="Arial"/>
          <w:i/>
          <w:iCs/>
          <w:sz w:val="20"/>
          <w:szCs w:val="20"/>
        </w:rPr>
        <w:t>kiểu dáng hoặc các yếu tố hình khác nhau rõ rệt</w:t>
      </w:r>
      <w:r w:rsidRPr="00E74CF8">
        <w:rPr>
          <w:rFonts w:ascii="Arial" w:hAnsi="Arial" w:cs="Arial"/>
          <w:sz w:val="20"/>
          <w:szCs w:val="20"/>
        </w:rPr>
        <w:t>” trong mỗi nhãn hiệu</w:t>
      </w:r>
      <w:r>
        <w:rPr>
          <w:rFonts w:ascii="Arial" w:hAnsi="Arial" w:cs="Arial"/>
          <w:sz w:val="20"/>
          <w:szCs w:val="20"/>
        </w:rPr>
        <w:t>,</w:t>
      </w:r>
      <w:r w:rsidRPr="00E74CF8">
        <w:rPr>
          <w:rFonts w:ascii="Arial" w:hAnsi="Arial" w:cs="Arial"/>
          <w:sz w:val="20"/>
          <w:szCs w:val="20"/>
        </w:rPr>
        <w:t xml:space="preserve"> thì chúng có thể được xem là khác nhau về hình ảnh.</w:t>
      </w:r>
    </w:p>
    <w:p w14:paraId="7258D193" w14:textId="77777777" w:rsidR="00BC78C6" w:rsidRPr="00E74CF8" w:rsidRDefault="00BC78C6" w:rsidP="00BC78C6">
      <w:pPr>
        <w:spacing w:after="0" w:line="240" w:lineRule="auto"/>
        <w:jc w:val="both"/>
        <w:rPr>
          <w:rFonts w:ascii="Arial" w:hAnsi="Arial" w:cs="Arial"/>
          <w:sz w:val="20"/>
          <w:szCs w:val="20"/>
        </w:rPr>
      </w:pPr>
    </w:p>
    <w:p w14:paraId="546CF281" w14:textId="77777777" w:rsidR="00BC78C6" w:rsidRPr="00E74CF8" w:rsidRDefault="00BC78C6" w:rsidP="00BC78C6">
      <w:pPr>
        <w:pStyle w:val="NormalWeb"/>
        <w:spacing w:before="0" w:beforeAutospacing="0" w:after="0" w:afterAutospacing="0"/>
        <w:jc w:val="both"/>
        <w:rPr>
          <w:rFonts w:ascii="Arial" w:hAnsi="Arial" w:cs="Arial"/>
          <w:sz w:val="20"/>
          <w:szCs w:val="20"/>
        </w:rPr>
      </w:pPr>
      <w:r w:rsidRPr="00E74CF8">
        <w:rPr>
          <w:rFonts w:ascii="Arial" w:hAnsi="Arial" w:cs="Arial"/>
          <w:sz w:val="20"/>
          <w:szCs w:val="20"/>
        </w:rPr>
        <w:t xml:space="preserve">Trong trường hợp này, không có ký tự hoặc từ nào giống nhau hoàn toàn giữa hai nhãn hiệu ("Zhong Wu" và "PROSPECS"). Có thể lập luận rằng </w:t>
      </w:r>
      <w:r w:rsidRPr="00EB6B47">
        <w:rPr>
          <w:rStyle w:val="Strong"/>
          <w:rFonts w:ascii="Arial" w:hAnsi="Arial" w:cs="Arial"/>
          <w:sz w:val="20"/>
          <w:szCs w:val="20"/>
        </w:rPr>
        <w:t>phần</w:t>
      </w:r>
      <w:r w:rsidRPr="00E74CF8">
        <w:rPr>
          <w:rStyle w:val="Strong"/>
          <w:rFonts w:ascii="Arial" w:hAnsi="Arial" w:cs="Arial"/>
          <w:sz w:val="20"/>
          <w:szCs w:val="20"/>
        </w:rPr>
        <w:t xml:space="preserve"> "hình"</w:t>
      </w:r>
      <w:r w:rsidRPr="00E74CF8">
        <w:rPr>
          <w:rFonts w:ascii="Arial" w:hAnsi="Arial" w:cs="Arial"/>
          <w:sz w:val="20"/>
          <w:szCs w:val="20"/>
        </w:rPr>
        <w:t xml:space="preserve"> của hai nhãn hiệu có sự tương đồng nhất định (đều là hình ảnh cách điệu của chữ "W"). Tuy nhiên, </w:t>
      </w:r>
      <w:r w:rsidRPr="00E74CF8">
        <w:rPr>
          <w:rStyle w:val="Strong"/>
          <w:rFonts w:ascii="Arial" w:hAnsi="Arial" w:cs="Arial"/>
          <w:sz w:val="20"/>
          <w:szCs w:val="20"/>
        </w:rPr>
        <w:t>"Kiểu dáng hoặc các yếu tố hình khác nhau rõ rệt"</w:t>
      </w:r>
      <w:r w:rsidRPr="00E74CF8">
        <w:rPr>
          <w:rFonts w:ascii="Arial" w:hAnsi="Arial" w:cs="Arial"/>
          <w:sz w:val="20"/>
          <w:szCs w:val="20"/>
        </w:rPr>
        <w:t xml:space="preserve">. Đây là điểm quan trọng mà </w:t>
      </w:r>
      <w:r>
        <w:rPr>
          <w:rFonts w:ascii="Arial" w:hAnsi="Arial" w:cs="Arial"/>
          <w:sz w:val="20"/>
          <w:szCs w:val="20"/>
        </w:rPr>
        <w:t>chủ đơn</w:t>
      </w:r>
      <w:r w:rsidRPr="00E74CF8">
        <w:rPr>
          <w:rFonts w:ascii="Arial" w:hAnsi="Arial" w:cs="Arial"/>
          <w:sz w:val="20"/>
          <w:szCs w:val="20"/>
        </w:rPr>
        <w:t xml:space="preserve"> cần tập trung khai thác để chứng minh sự khác biệt giữa hai nhãn hiệu:</w:t>
      </w:r>
    </w:p>
    <w:p w14:paraId="72A033AC" w14:textId="77777777" w:rsidR="00BC78C6" w:rsidRPr="00E74CF8" w:rsidRDefault="00BC78C6" w:rsidP="00BC78C6">
      <w:pPr>
        <w:pStyle w:val="NormalWeb"/>
        <w:spacing w:before="0" w:beforeAutospacing="0" w:after="0" w:afterAutospacing="0"/>
        <w:jc w:val="both"/>
        <w:rPr>
          <w:rFonts w:ascii="Arial" w:hAnsi="Arial" w:cs="Arial"/>
          <w:sz w:val="20"/>
          <w:szCs w:val="20"/>
        </w:rPr>
      </w:pPr>
    </w:p>
    <w:p w14:paraId="06EB5482" w14:textId="77777777" w:rsidR="00BC78C6" w:rsidRPr="00AF5C4E" w:rsidRDefault="00BC78C6" w:rsidP="00BC78C6">
      <w:pPr>
        <w:numPr>
          <w:ilvl w:val="0"/>
          <w:numId w:val="25"/>
        </w:numPr>
        <w:tabs>
          <w:tab w:val="clear" w:pos="720"/>
        </w:tabs>
        <w:spacing w:after="0" w:line="240" w:lineRule="auto"/>
        <w:ind w:left="360"/>
        <w:jc w:val="both"/>
        <w:rPr>
          <w:rFonts w:ascii="Arial" w:eastAsia="Times New Roman" w:hAnsi="Arial" w:cs="Arial"/>
          <w:sz w:val="20"/>
          <w:szCs w:val="20"/>
        </w:rPr>
      </w:pPr>
      <w:r w:rsidRPr="00AF5C4E">
        <w:rPr>
          <w:rFonts w:ascii="Arial" w:eastAsia="Times New Roman" w:hAnsi="Arial" w:cs="Arial"/>
          <w:b/>
          <w:bCs/>
          <w:sz w:val="20"/>
          <w:szCs w:val="20"/>
        </w:rPr>
        <w:t>Kiểu dáng</w:t>
      </w:r>
      <w:r w:rsidRPr="00AF5C4E">
        <w:rPr>
          <w:rFonts w:ascii="Arial" w:eastAsia="Times New Roman" w:hAnsi="Arial" w:cs="Arial"/>
          <w:sz w:val="20"/>
          <w:szCs w:val="20"/>
        </w:rPr>
        <w:t xml:space="preserve">: Nhãn hiệu xin đăng ký có sự kết hợp giữa chữ Latin, </w:t>
      </w:r>
      <w:hyperlink r:id="rId16" w:history="1">
        <w:r w:rsidRPr="0046529B">
          <w:rPr>
            <w:rStyle w:val="Hyperlink"/>
            <w:rFonts w:ascii="Arial" w:eastAsia="Times New Roman" w:hAnsi="Arial" w:cs="Arial"/>
            <w:sz w:val="20"/>
            <w:szCs w:val="20"/>
          </w:rPr>
          <w:t>chữ Trung Quốc</w:t>
        </w:r>
      </w:hyperlink>
      <w:r w:rsidRPr="00AF5C4E">
        <w:rPr>
          <w:rFonts w:ascii="Arial" w:eastAsia="Times New Roman" w:hAnsi="Arial" w:cs="Arial"/>
          <w:sz w:val="20"/>
          <w:szCs w:val="20"/>
        </w:rPr>
        <w:t xml:space="preserve"> và hình ảnh cách điệu, tạo nên một kiểu dáng độc đáo, khác biệt với nhãn hiệu đối chứng chỉ có chữ Latin và hình ảnh.</w:t>
      </w:r>
    </w:p>
    <w:p w14:paraId="0D15BEFE" w14:textId="77777777" w:rsidR="00BC78C6" w:rsidRPr="00AF5C4E" w:rsidRDefault="00BC78C6" w:rsidP="00BC78C6">
      <w:pPr>
        <w:numPr>
          <w:ilvl w:val="0"/>
          <w:numId w:val="25"/>
        </w:numPr>
        <w:tabs>
          <w:tab w:val="clear" w:pos="720"/>
        </w:tabs>
        <w:spacing w:after="0" w:line="240" w:lineRule="auto"/>
        <w:ind w:left="360"/>
        <w:jc w:val="both"/>
        <w:rPr>
          <w:rFonts w:ascii="Arial" w:eastAsia="Times New Roman" w:hAnsi="Arial" w:cs="Arial"/>
          <w:sz w:val="20"/>
          <w:szCs w:val="20"/>
        </w:rPr>
      </w:pPr>
      <w:r w:rsidRPr="00AF5C4E">
        <w:rPr>
          <w:rFonts w:ascii="Arial" w:eastAsia="Times New Roman" w:hAnsi="Arial" w:cs="Arial"/>
          <w:b/>
          <w:bCs/>
          <w:sz w:val="20"/>
          <w:szCs w:val="20"/>
        </w:rPr>
        <w:t>Yếu tố hình</w:t>
      </w:r>
      <w:r w:rsidRPr="00AF5C4E">
        <w:rPr>
          <w:rFonts w:ascii="Arial" w:eastAsia="Times New Roman" w:hAnsi="Arial" w:cs="Arial"/>
          <w:sz w:val="20"/>
          <w:szCs w:val="20"/>
        </w:rPr>
        <w:t>: Cần phân tích chi tiết để chỉ ra sự khác biệt rõ rệt về nét vẽ, độ dày, góc cạnh, bố cục của hình ảnh chữ "W" trong hai nhãn hiệu.</w:t>
      </w:r>
    </w:p>
    <w:p w14:paraId="164CDFDB" w14:textId="77777777" w:rsidR="00BC78C6" w:rsidRPr="00AF5C4E" w:rsidRDefault="00BC78C6" w:rsidP="00BC78C6">
      <w:pPr>
        <w:numPr>
          <w:ilvl w:val="0"/>
          <w:numId w:val="25"/>
        </w:numPr>
        <w:tabs>
          <w:tab w:val="clear" w:pos="720"/>
        </w:tabs>
        <w:spacing w:after="0" w:line="240" w:lineRule="auto"/>
        <w:ind w:left="360"/>
        <w:jc w:val="both"/>
        <w:rPr>
          <w:rFonts w:ascii="Arial" w:eastAsia="Times New Roman" w:hAnsi="Arial" w:cs="Arial"/>
          <w:sz w:val="20"/>
          <w:szCs w:val="20"/>
        </w:rPr>
      </w:pPr>
      <w:r w:rsidRPr="00AF5C4E">
        <w:rPr>
          <w:rFonts w:ascii="Arial" w:eastAsia="Times New Roman" w:hAnsi="Arial" w:cs="Arial"/>
          <w:b/>
          <w:bCs/>
          <w:sz w:val="20"/>
          <w:szCs w:val="20"/>
        </w:rPr>
        <w:t>Font chữ</w:t>
      </w:r>
      <w:r w:rsidRPr="00AF5C4E">
        <w:rPr>
          <w:rFonts w:ascii="Arial" w:eastAsia="Times New Roman" w:hAnsi="Arial" w:cs="Arial"/>
          <w:sz w:val="20"/>
          <w:szCs w:val="20"/>
        </w:rPr>
        <w:t xml:space="preserve">: Mặc dù đều là kiểu chữ in hoa không chân, nhưng font chữ của hai nhãn hiệu có sự khác biệt. </w:t>
      </w:r>
      <w:r>
        <w:rPr>
          <w:rFonts w:ascii="Arial" w:eastAsia="Times New Roman" w:hAnsi="Arial" w:cs="Arial"/>
          <w:sz w:val="20"/>
          <w:szCs w:val="20"/>
        </w:rPr>
        <w:t>P</w:t>
      </w:r>
      <w:r w:rsidRPr="00AF5C4E">
        <w:rPr>
          <w:rFonts w:ascii="Arial" w:eastAsia="Times New Roman" w:hAnsi="Arial" w:cs="Arial"/>
          <w:sz w:val="20"/>
          <w:szCs w:val="20"/>
        </w:rPr>
        <w:t>hân tích sự khác biệt này và chỉ ra rằng nó góp phần tạo nên ấn tượng thị giác khác biệt.</w:t>
      </w:r>
    </w:p>
    <w:p w14:paraId="1E349646" w14:textId="77777777" w:rsidR="00BC78C6" w:rsidRPr="00E74CF8" w:rsidRDefault="00BC78C6" w:rsidP="00BC78C6">
      <w:pPr>
        <w:spacing w:after="0" w:line="240" w:lineRule="auto"/>
        <w:jc w:val="both"/>
        <w:rPr>
          <w:rFonts w:ascii="Arial" w:eastAsia="Times New Roman" w:hAnsi="Arial" w:cs="Arial"/>
          <w:b/>
          <w:bCs/>
          <w:sz w:val="20"/>
          <w:szCs w:val="20"/>
        </w:rPr>
      </w:pPr>
    </w:p>
    <w:p w14:paraId="6275BA5E" w14:textId="77777777" w:rsidR="00BC78C6" w:rsidRPr="00AF5C4E" w:rsidRDefault="00BC78C6" w:rsidP="00BC78C6">
      <w:pPr>
        <w:spacing w:after="0" w:line="240" w:lineRule="auto"/>
        <w:jc w:val="both"/>
        <w:rPr>
          <w:rFonts w:ascii="Arial" w:eastAsia="Times New Roman" w:hAnsi="Arial" w:cs="Arial"/>
          <w:sz w:val="20"/>
          <w:szCs w:val="20"/>
        </w:rPr>
      </w:pPr>
      <w:r w:rsidRPr="00E74CF8">
        <w:rPr>
          <w:rFonts w:ascii="Arial" w:eastAsia="Times New Roman" w:hAnsi="Arial" w:cs="Arial"/>
          <w:b/>
          <w:bCs/>
          <w:sz w:val="20"/>
          <w:szCs w:val="20"/>
        </w:rPr>
        <w:t>Nguyên tắc nêu trên có ý nghĩa quan trọng đ</w:t>
      </w:r>
      <w:r w:rsidRPr="00AF5C4E">
        <w:rPr>
          <w:rFonts w:ascii="Arial" w:eastAsia="Times New Roman" w:hAnsi="Arial" w:cs="Arial"/>
          <w:b/>
          <w:bCs/>
          <w:sz w:val="20"/>
          <w:szCs w:val="20"/>
        </w:rPr>
        <w:t>ối với việc so sánh hai nhãn hiệu</w:t>
      </w:r>
      <w:r w:rsidRPr="00E74CF8">
        <w:rPr>
          <w:rFonts w:ascii="Arial" w:eastAsia="Times New Roman" w:hAnsi="Arial" w:cs="Arial"/>
          <w:b/>
          <w:bCs/>
          <w:sz w:val="20"/>
          <w:szCs w:val="20"/>
        </w:rPr>
        <w:t xml:space="preserve"> </w:t>
      </w:r>
      <w:r w:rsidRPr="00AF5C4E">
        <w:rPr>
          <w:rFonts w:ascii="Arial" w:eastAsia="Times New Roman" w:hAnsi="Arial" w:cs="Arial"/>
          <w:b/>
          <w:bCs/>
          <w:sz w:val="20"/>
          <w:szCs w:val="20"/>
        </w:rPr>
        <w:t>để chứng minh sự khác biệt</w:t>
      </w:r>
      <w:r w:rsidRPr="00E74CF8">
        <w:rPr>
          <w:rFonts w:ascii="Arial" w:eastAsia="Times New Roman" w:hAnsi="Arial" w:cs="Arial"/>
          <w:sz w:val="20"/>
          <w:szCs w:val="20"/>
        </w:rPr>
        <w:t>.</w:t>
      </w:r>
      <w:r w:rsidRPr="00AF5C4E">
        <w:rPr>
          <w:rFonts w:ascii="Arial" w:eastAsia="Times New Roman" w:hAnsi="Arial" w:cs="Arial"/>
          <w:sz w:val="20"/>
          <w:szCs w:val="20"/>
        </w:rPr>
        <w:t xml:space="preserve"> Nguyên tắc này cho phép </w:t>
      </w:r>
      <w:r w:rsidRPr="00E74CF8">
        <w:rPr>
          <w:rFonts w:ascii="Arial" w:eastAsia="Times New Roman" w:hAnsi="Arial" w:cs="Arial"/>
          <w:sz w:val="20"/>
          <w:szCs w:val="20"/>
        </w:rPr>
        <w:t>chủ đơn</w:t>
      </w:r>
      <w:r w:rsidRPr="00AF5C4E">
        <w:rPr>
          <w:rFonts w:ascii="Arial" w:eastAsia="Times New Roman" w:hAnsi="Arial" w:cs="Arial"/>
          <w:sz w:val="20"/>
          <w:szCs w:val="20"/>
        </w:rPr>
        <w:t xml:space="preserve"> tập trung vào những điểm khác biệt về kiểu dáng và yếu tố </w:t>
      </w:r>
      <w:r>
        <w:rPr>
          <w:rFonts w:ascii="Arial" w:eastAsia="Times New Roman" w:hAnsi="Arial" w:cs="Arial"/>
          <w:sz w:val="20"/>
          <w:szCs w:val="20"/>
        </w:rPr>
        <w:t>“</w:t>
      </w:r>
      <w:r w:rsidRPr="00AF5C4E">
        <w:rPr>
          <w:rFonts w:ascii="Arial" w:eastAsia="Times New Roman" w:hAnsi="Arial" w:cs="Arial"/>
          <w:sz w:val="20"/>
          <w:szCs w:val="20"/>
        </w:rPr>
        <w:t>hình</w:t>
      </w:r>
      <w:r>
        <w:rPr>
          <w:rFonts w:ascii="Arial" w:eastAsia="Times New Roman" w:hAnsi="Arial" w:cs="Arial"/>
          <w:sz w:val="20"/>
          <w:szCs w:val="20"/>
        </w:rPr>
        <w:t>”</w:t>
      </w:r>
      <w:r w:rsidRPr="00AF5C4E">
        <w:rPr>
          <w:rFonts w:ascii="Arial" w:eastAsia="Times New Roman" w:hAnsi="Arial" w:cs="Arial"/>
          <w:sz w:val="20"/>
          <w:szCs w:val="20"/>
        </w:rPr>
        <w:t xml:space="preserve"> để chứng minh rằng hai nhãn hiệu không tương tự nhau về mặt hình ảnh.</w:t>
      </w:r>
      <w:r w:rsidRPr="00E74CF8">
        <w:rPr>
          <w:rFonts w:ascii="Arial" w:eastAsia="Times New Roman" w:hAnsi="Arial" w:cs="Arial"/>
          <w:sz w:val="20"/>
          <w:szCs w:val="20"/>
        </w:rPr>
        <w:t xml:space="preserve"> Ngoài ra, các phân tích đó giúp </w:t>
      </w:r>
      <w:r w:rsidRPr="00EB6B47">
        <w:rPr>
          <w:rFonts w:ascii="Arial" w:eastAsia="Times New Roman" w:hAnsi="Arial" w:cs="Arial"/>
          <w:sz w:val="20"/>
          <w:szCs w:val="20"/>
          <w:u w:val="single"/>
        </w:rPr>
        <w:t>g</w:t>
      </w:r>
      <w:r w:rsidRPr="00AF5C4E">
        <w:rPr>
          <w:rFonts w:ascii="Arial" w:eastAsia="Times New Roman" w:hAnsi="Arial" w:cs="Arial"/>
          <w:b/>
          <w:bCs/>
          <w:sz w:val="20"/>
          <w:szCs w:val="20"/>
          <w:u w:val="single"/>
        </w:rPr>
        <w:t xml:space="preserve">iảm thiểu tác động của sự tương </w:t>
      </w:r>
      <w:r w:rsidRPr="00EB6B47">
        <w:rPr>
          <w:rFonts w:ascii="Arial" w:eastAsia="Times New Roman" w:hAnsi="Arial" w:cs="Arial"/>
          <w:b/>
          <w:bCs/>
          <w:sz w:val="20"/>
          <w:szCs w:val="20"/>
          <w:u w:val="single"/>
        </w:rPr>
        <w:t>tự</w:t>
      </w:r>
      <w:r w:rsidRPr="00E74CF8">
        <w:rPr>
          <w:rFonts w:ascii="Arial" w:eastAsia="Times New Roman" w:hAnsi="Arial" w:cs="Arial"/>
          <w:b/>
          <w:bCs/>
          <w:sz w:val="20"/>
          <w:szCs w:val="20"/>
        </w:rPr>
        <w:t>.</w:t>
      </w:r>
      <w:r w:rsidRPr="00AF5C4E">
        <w:rPr>
          <w:rFonts w:ascii="Arial" w:eastAsia="Times New Roman" w:hAnsi="Arial" w:cs="Arial"/>
          <w:sz w:val="20"/>
          <w:szCs w:val="20"/>
        </w:rPr>
        <w:t xml:space="preserve"> Mặc dù phần "hình" có nét tương </w:t>
      </w:r>
      <w:r>
        <w:rPr>
          <w:rFonts w:ascii="Arial" w:eastAsia="Times New Roman" w:hAnsi="Arial" w:cs="Arial"/>
          <w:sz w:val="20"/>
          <w:szCs w:val="20"/>
        </w:rPr>
        <w:t>tự</w:t>
      </w:r>
      <w:r w:rsidRPr="00AF5C4E">
        <w:rPr>
          <w:rFonts w:ascii="Arial" w:eastAsia="Times New Roman" w:hAnsi="Arial" w:cs="Arial"/>
          <w:sz w:val="20"/>
          <w:szCs w:val="20"/>
        </w:rPr>
        <w:t xml:space="preserve">, nhưng sự khác biệt rõ rệt về kiểu dáng và các yếu tố hình khác có thể giúp giảm </w:t>
      </w:r>
      <w:r>
        <w:rPr>
          <w:rFonts w:ascii="Arial" w:eastAsia="Times New Roman" w:hAnsi="Arial" w:cs="Arial"/>
          <w:sz w:val="20"/>
          <w:szCs w:val="20"/>
        </w:rPr>
        <w:t xml:space="preserve">mức độ </w:t>
      </w:r>
      <w:r w:rsidRPr="00AF5C4E">
        <w:rPr>
          <w:rFonts w:ascii="Arial" w:eastAsia="Times New Roman" w:hAnsi="Arial" w:cs="Arial"/>
          <w:sz w:val="20"/>
          <w:szCs w:val="20"/>
        </w:rPr>
        <w:t xml:space="preserve">tương </w:t>
      </w:r>
      <w:r>
        <w:rPr>
          <w:rFonts w:ascii="Arial" w:eastAsia="Times New Roman" w:hAnsi="Arial" w:cs="Arial"/>
          <w:sz w:val="20"/>
          <w:szCs w:val="20"/>
        </w:rPr>
        <w:t>tự</w:t>
      </w:r>
      <w:r w:rsidRPr="00AF5C4E">
        <w:rPr>
          <w:rFonts w:ascii="Arial" w:eastAsia="Times New Roman" w:hAnsi="Arial" w:cs="Arial"/>
          <w:sz w:val="20"/>
          <w:szCs w:val="20"/>
        </w:rPr>
        <w:t>, thuyết phục Cục SHTT rằng</w:t>
      </w:r>
      <w:r>
        <w:rPr>
          <w:rFonts w:ascii="Arial" w:eastAsia="Times New Roman" w:hAnsi="Arial" w:cs="Arial"/>
          <w:sz w:val="20"/>
          <w:szCs w:val="20"/>
        </w:rPr>
        <w:t>,</w:t>
      </w:r>
      <w:r w:rsidRPr="00AF5C4E">
        <w:rPr>
          <w:rFonts w:ascii="Arial" w:eastAsia="Times New Roman" w:hAnsi="Arial" w:cs="Arial"/>
          <w:sz w:val="20"/>
          <w:szCs w:val="20"/>
        </w:rPr>
        <w:t xml:space="preserve"> hai nhãn hiệu có khả năng phân biệt.</w:t>
      </w:r>
      <w:r w:rsidRPr="00E74CF8">
        <w:rPr>
          <w:rFonts w:ascii="Arial" w:hAnsi="Arial" w:cs="Arial"/>
          <w:sz w:val="20"/>
          <w:szCs w:val="20"/>
        </w:rPr>
        <w:t xml:space="preserve"> Với việc khai thác triệt để những điểm khác biệt về kiểu dáng và yếu tố </w:t>
      </w:r>
      <w:r>
        <w:rPr>
          <w:rFonts w:ascii="Arial" w:hAnsi="Arial" w:cs="Arial"/>
          <w:sz w:val="20"/>
          <w:szCs w:val="20"/>
        </w:rPr>
        <w:t>“</w:t>
      </w:r>
      <w:r w:rsidRPr="00E74CF8">
        <w:rPr>
          <w:rFonts w:ascii="Arial" w:hAnsi="Arial" w:cs="Arial"/>
          <w:sz w:val="20"/>
          <w:szCs w:val="20"/>
        </w:rPr>
        <w:t>hình</w:t>
      </w:r>
      <w:r>
        <w:rPr>
          <w:rFonts w:ascii="Arial" w:hAnsi="Arial" w:cs="Arial"/>
          <w:sz w:val="20"/>
          <w:szCs w:val="20"/>
        </w:rPr>
        <w:t>”</w:t>
      </w:r>
      <w:r w:rsidRPr="00E74CF8">
        <w:rPr>
          <w:rFonts w:ascii="Arial" w:hAnsi="Arial" w:cs="Arial"/>
          <w:sz w:val="20"/>
          <w:szCs w:val="20"/>
        </w:rPr>
        <w:t xml:space="preserve">, kết hợp với việc xem xét nhãn hiệu một cách tổng thể, </w:t>
      </w:r>
      <w:r>
        <w:rPr>
          <w:rFonts w:ascii="Arial" w:hAnsi="Arial" w:cs="Arial"/>
          <w:sz w:val="20"/>
          <w:szCs w:val="20"/>
        </w:rPr>
        <w:t>chủ đơn</w:t>
      </w:r>
      <w:r w:rsidRPr="00E74CF8">
        <w:rPr>
          <w:rFonts w:ascii="Arial" w:hAnsi="Arial" w:cs="Arial"/>
          <w:sz w:val="20"/>
          <w:szCs w:val="20"/>
        </w:rPr>
        <w:t xml:space="preserve"> có thể tăng khả năng thành công trong việc </w:t>
      </w:r>
      <w:hyperlink r:id="rId17" w:history="1">
        <w:r w:rsidRPr="00C9600C">
          <w:rPr>
            <w:rStyle w:val="Hyperlink"/>
            <w:rFonts w:ascii="Arial" w:hAnsi="Arial" w:cs="Arial"/>
            <w:sz w:val="20"/>
            <w:szCs w:val="20"/>
          </w:rPr>
          <w:t>chứng minh sự khác biệt và khả năng phân biệt của nhãn hiệu</w:t>
        </w:r>
      </w:hyperlink>
      <w:r w:rsidRPr="00E74CF8">
        <w:rPr>
          <w:rFonts w:ascii="Arial" w:hAnsi="Arial" w:cs="Arial"/>
          <w:sz w:val="20"/>
          <w:szCs w:val="20"/>
        </w:rPr>
        <w:t xml:space="preserve"> xin đăng ký so với nhãn hiệu đối chứng.</w:t>
      </w:r>
    </w:p>
    <w:p w14:paraId="597B982A" w14:textId="2ACEB202" w:rsidR="00BC78C6" w:rsidRPr="00EC26B7" w:rsidRDefault="00BC78C6" w:rsidP="00BC78C6">
      <w:pPr>
        <w:spacing w:after="0" w:line="240" w:lineRule="auto"/>
        <w:jc w:val="both"/>
        <w:rPr>
          <w:rFonts w:ascii="Arial" w:eastAsia="Times New Roman" w:hAnsi="Arial" w:cs="Arial"/>
          <w:b/>
          <w:bCs/>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B349266" wp14:editId="33CFABF9">
                <wp:simplePos x="0" y="0"/>
                <wp:positionH relativeFrom="column">
                  <wp:posOffset>6362700</wp:posOffset>
                </wp:positionH>
                <wp:positionV relativeFrom="paragraph">
                  <wp:posOffset>-316230</wp:posOffset>
                </wp:positionV>
                <wp:extent cx="346710" cy="10325735"/>
                <wp:effectExtent l="0" t="0" r="15240" b="18415"/>
                <wp:wrapNone/>
                <wp:docPr id="12" name="Rectangle 1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27B81" w14:textId="77777777" w:rsidR="00BC78C6" w:rsidRPr="00BA68B8" w:rsidRDefault="00BC78C6" w:rsidP="00BC78C6">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49266" id="Rectangle 12" o:spid="_x0000_s1029" style="position:absolute;left:0;text-align:left;margin-left:501pt;margin-top:-24.9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" fillcolor="#00b39c" strokecolor="#00b39c" strokeweight="0">
                <v:textbox style="layout-flow:vertical">
                  <w:txbxContent>
                    <w:p w14:paraId="0EB27B81" w14:textId="77777777" w:rsidR="00BC78C6" w:rsidRPr="00BA68B8" w:rsidRDefault="00BC78C6" w:rsidP="00BC78C6">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v:textbox>
              </v:rect>
            </w:pict>
          </mc:Fallback>
        </mc:AlternateContent>
      </w:r>
    </w:p>
    <w:p w14:paraId="7589724C" w14:textId="78A9F2A6" w:rsidR="00BC78C6" w:rsidRPr="006B2382" w:rsidRDefault="00BC78C6" w:rsidP="00BC78C6">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3</w:t>
      </w:r>
      <w:r w:rsidRPr="006B2382">
        <w:rPr>
          <w:rFonts w:ascii="Arial" w:hAnsi="Arial" w:cs="Arial"/>
          <w:b/>
          <w:bCs/>
          <w:color w:val="2F5496" w:themeColor="accent1" w:themeShade="BF"/>
        </w:rPr>
        <w:t>. Phân tích sự khác biệt về phần “chữ” trong các nhãn hiệu hỗn hợp: Nguyên tắc nào?</w:t>
      </w:r>
    </w:p>
    <w:p w14:paraId="34F2D528" w14:textId="77777777" w:rsidR="00BC78C6" w:rsidRDefault="00BC78C6" w:rsidP="00BC78C6">
      <w:pPr>
        <w:spacing w:after="0" w:line="240" w:lineRule="auto"/>
        <w:jc w:val="both"/>
        <w:rPr>
          <w:rFonts w:ascii="Arial" w:eastAsia="Times New Roman" w:hAnsi="Arial" w:cs="Arial"/>
          <w:b/>
          <w:bCs/>
          <w:sz w:val="20"/>
          <w:szCs w:val="20"/>
        </w:rPr>
      </w:pPr>
    </w:p>
    <w:p w14:paraId="62E829A2" w14:textId="77777777" w:rsidR="00BC78C6" w:rsidRPr="00284D85" w:rsidRDefault="00BC78C6" w:rsidP="00BC78C6">
      <w:pPr>
        <w:spacing w:after="0" w:line="240" w:lineRule="auto"/>
        <w:jc w:val="both"/>
        <w:rPr>
          <w:rFonts w:ascii="Arial" w:eastAsia="Times New Roman" w:hAnsi="Arial" w:cs="Arial"/>
          <w:sz w:val="20"/>
          <w:szCs w:val="20"/>
        </w:rPr>
      </w:pPr>
      <w:r w:rsidRPr="00284D85">
        <w:rPr>
          <w:rFonts w:ascii="Arial" w:eastAsia="Times New Roman" w:hAnsi="Arial" w:cs="Arial"/>
          <w:sz w:val="20"/>
          <w:szCs w:val="20"/>
        </w:rPr>
        <w:t xml:space="preserve">Chứng minh sự khác biệt về phần “chữ” giữa các nhãn hiệu đòi hòi các phân tích chuyên sâu hơn. Thông thường, các nguyên tắc sau đây cần được </w:t>
      </w:r>
      <w:r>
        <w:rPr>
          <w:rFonts w:ascii="Arial" w:eastAsia="Times New Roman" w:hAnsi="Arial" w:cs="Arial"/>
          <w:sz w:val="20"/>
          <w:szCs w:val="20"/>
        </w:rPr>
        <w:t>áp dụng</w:t>
      </w:r>
      <w:r w:rsidRPr="00284D85">
        <w:rPr>
          <w:rFonts w:ascii="Arial" w:eastAsia="Times New Roman" w:hAnsi="Arial" w:cs="Arial"/>
          <w:sz w:val="20"/>
          <w:szCs w:val="20"/>
        </w:rPr>
        <w:t xml:space="preserve"> để xem xét tính tương tự</w:t>
      </w:r>
      <w:r>
        <w:rPr>
          <w:rFonts w:ascii="Arial" w:eastAsia="Times New Roman" w:hAnsi="Arial" w:cs="Arial"/>
          <w:sz w:val="20"/>
          <w:szCs w:val="20"/>
        </w:rPr>
        <w:t xml:space="preserve"> hoặc</w:t>
      </w:r>
      <w:r w:rsidRPr="00284D85">
        <w:rPr>
          <w:rFonts w:ascii="Arial" w:eastAsia="Times New Roman" w:hAnsi="Arial" w:cs="Arial"/>
          <w:sz w:val="20"/>
          <w:szCs w:val="20"/>
        </w:rPr>
        <w:t xml:space="preserve"> không tương tự giữa các </w:t>
      </w:r>
      <w:r>
        <w:rPr>
          <w:rFonts w:ascii="Arial" w:eastAsia="Times New Roman" w:hAnsi="Arial" w:cs="Arial"/>
          <w:sz w:val="20"/>
          <w:szCs w:val="20"/>
        </w:rPr>
        <w:t>dấu</w:t>
      </w:r>
      <w:r w:rsidRPr="00284D85">
        <w:rPr>
          <w:rFonts w:ascii="Arial" w:eastAsia="Times New Roman" w:hAnsi="Arial" w:cs="Arial"/>
          <w:sz w:val="20"/>
          <w:szCs w:val="20"/>
        </w:rPr>
        <w:t xml:space="preserve"> hiệu “chữ”.</w:t>
      </w:r>
    </w:p>
    <w:p w14:paraId="7F921E57" w14:textId="77777777" w:rsidR="00BC78C6" w:rsidRPr="00E74CF8" w:rsidRDefault="00BC78C6" w:rsidP="00BC78C6">
      <w:pPr>
        <w:spacing w:after="0" w:line="240" w:lineRule="auto"/>
        <w:jc w:val="both"/>
        <w:rPr>
          <w:rFonts w:ascii="Arial" w:eastAsia="Times New Roman" w:hAnsi="Arial" w:cs="Arial"/>
          <w:b/>
          <w:bCs/>
          <w:sz w:val="20"/>
          <w:szCs w:val="20"/>
        </w:rPr>
      </w:pPr>
    </w:p>
    <w:p w14:paraId="23A2DE6D" w14:textId="77777777" w:rsidR="00BC78C6" w:rsidRPr="00284D85" w:rsidRDefault="00BC78C6" w:rsidP="00BC78C6">
      <w:pPr>
        <w:pStyle w:val="ListParagraph"/>
        <w:numPr>
          <w:ilvl w:val="0"/>
          <w:numId w:val="30"/>
        </w:numPr>
        <w:spacing w:after="0" w:line="240" w:lineRule="auto"/>
        <w:ind w:left="630" w:hanging="540"/>
        <w:jc w:val="both"/>
        <w:rPr>
          <w:rFonts w:ascii="Arial" w:eastAsia="Times New Roman" w:hAnsi="Arial" w:cs="Arial"/>
          <w:sz w:val="20"/>
          <w:szCs w:val="20"/>
        </w:rPr>
      </w:pPr>
      <w:r w:rsidRPr="00284D85">
        <w:rPr>
          <w:rFonts w:ascii="Arial" w:eastAsia="Times New Roman" w:hAnsi="Arial" w:cs="Arial"/>
          <w:sz w:val="20"/>
          <w:szCs w:val="20"/>
        </w:rPr>
        <w:t>So sánh ngữ âm của các dấu hiệu có thể nhận thấy bằng hình ảnh có thể chỉ được thực hiện giữa các dấu hiệu chứa một hoặc nhiều yếu tố từ</w:t>
      </w:r>
      <w:r>
        <w:rPr>
          <w:rFonts w:ascii="Arial" w:eastAsia="Times New Roman" w:hAnsi="Arial" w:cs="Arial"/>
          <w:sz w:val="20"/>
          <w:szCs w:val="20"/>
        </w:rPr>
        <w:t xml:space="preserve"> ngữ</w:t>
      </w:r>
      <w:r w:rsidRPr="00284D85">
        <w:rPr>
          <w:rFonts w:ascii="Arial" w:eastAsia="Times New Roman" w:hAnsi="Arial" w:cs="Arial"/>
          <w:sz w:val="20"/>
          <w:szCs w:val="20"/>
        </w:rPr>
        <w:t xml:space="preserve"> có thể đọc hoặc phát âm được. So sánh như vây là có thể ngay cả khi yếu tố từ</w:t>
      </w:r>
      <w:r>
        <w:rPr>
          <w:rFonts w:ascii="Arial" w:eastAsia="Times New Roman" w:hAnsi="Arial" w:cs="Arial"/>
          <w:sz w:val="20"/>
          <w:szCs w:val="20"/>
        </w:rPr>
        <w:t xml:space="preserve"> ngữ</w:t>
      </w:r>
      <w:r w:rsidRPr="00284D85">
        <w:rPr>
          <w:rFonts w:ascii="Arial" w:eastAsia="Times New Roman" w:hAnsi="Arial" w:cs="Arial"/>
          <w:sz w:val="20"/>
          <w:szCs w:val="20"/>
        </w:rPr>
        <w:t xml:space="preserve"> cũng chứa một yếu tố hình hoặc sử dụng ký tự, chữ, font hoặc màu sắc đặc biệt.</w:t>
      </w:r>
    </w:p>
    <w:p w14:paraId="3A3BC7F3" w14:textId="77777777" w:rsidR="00BC78C6" w:rsidRPr="00E74CF8" w:rsidRDefault="00BC78C6" w:rsidP="00BC78C6">
      <w:pPr>
        <w:spacing w:after="0" w:line="240" w:lineRule="auto"/>
        <w:ind w:left="630" w:hanging="540"/>
        <w:jc w:val="both"/>
        <w:rPr>
          <w:rFonts w:ascii="Arial" w:hAnsi="Arial" w:cs="Arial"/>
          <w:b/>
          <w:bCs/>
          <w:sz w:val="20"/>
          <w:szCs w:val="20"/>
        </w:rPr>
      </w:pPr>
    </w:p>
    <w:p w14:paraId="227292A4" w14:textId="77777777" w:rsidR="00BC78C6" w:rsidRPr="00284D85" w:rsidRDefault="00BC78C6" w:rsidP="00BC78C6">
      <w:pPr>
        <w:pStyle w:val="ListParagraph"/>
        <w:numPr>
          <w:ilvl w:val="0"/>
          <w:numId w:val="30"/>
        </w:numPr>
        <w:spacing w:after="0" w:line="240" w:lineRule="auto"/>
        <w:ind w:left="630" w:hanging="540"/>
        <w:jc w:val="both"/>
        <w:rPr>
          <w:rFonts w:ascii="Arial" w:eastAsia="Times New Roman" w:hAnsi="Arial" w:cs="Arial"/>
          <w:b/>
          <w:bCs/>
          <w:sz w:val="20"/>
          <w:szCs w:val="20"/>
        </w:rPr>
      </w:pPr>
      <w:r w:rsidRPr="00284D85">
        <w:rPr>
          <w:rFonts w:ascii="Arial" w:hAnsi="Arial" w:cs="Arial"/>
          <w:sz w:val="20"/>
          <w:szCs w:val="20"/>
        </w:rPr>
        <w:t xml:space="preserve">So sánh ngữ âm phải dựa trên các </w:t>
      </w:r>
      <w:r w:rsidRPr="00284D85">
        <w:rPr>
          <w:rFonts w:ascii="Arial" w:hAnsi="Arial" w:cs="Arial"/>
          <w:spacing w:val="-3"/>
          <w:sz w:val="20"/>
          <w:szCs w:val="20"/>
        </w:rPr>
        <w:t xml:space="preserve">mã </w:t>
      </w:r>
      <w:r w:rsidRPr="00284D85">
        <w:rPr>
          <w:rFonts w:ascii="Arial" w:hAnsi="Arial" w:cs="Arial"/>
          <w:sz w:val="20"/>
          <w:szCs w:val="20"/>
        </w:rPr>
        <w:t xml:space="preserve">phát âm của người tiêu dùng bình thường tại nước liên quan. Các </w:t>
      </w:r>
      <w:r>
        <w:rPr>
          <w:rFonts w:ascii="Arial" w:hAnsi="Arial" w:cs="Arial"/>
          <w:sz w:val="20"/>
          <w:szCs w:val="20"/>
        </w:rPr>
        <w:t>chữ thuộc ngôn ngữ</w:t>
      </w:r>
      <w:r w:rsidRPr="00284D85">
        <w:rPr>
          <w:rFonts w:ascii="Arial" w:hAnsi="Arial" w:cs="Arial"/>
          <w:sz w:val="20"/>
          <w:szCs w:val="20"/>
        </w:rPr>
        <w:t xml:space="preserve"> nước ngoài có thể được phát âm khác ở các nước khác và cách mà một từ phát âm ở nước xuất xứ không phải lúc nào cũng liên</w:t>
      </w:r>
      <w:r w:rsidRPr="00284D85">
        <w:rPr>
          <w:rFonts w:ascii="Arial" w:hAnsi="Arial" w:cs="Arial"/>
          <w:spacing w:val="-4"/>
          <w:sz w:val="20"/>
          <w:szCs w:val="20"/>
        </w:rPr>
        <w:t xml:space="preserve"> </w:t>
      </w:r>
      <w:r w:rsidRPr="00284D85">
        <w:rPr>
          <w:rFonts w:ascii="Arial" w:hAnsi="Arial" w:cs="Arial"/>
          <w:sz w:val="20"/>
          <w:szCs w:val="20"/>
        </w:rPr>
        <w:t>quan</w:t>
      </w:r>
      <w:r>
        <w:rPr>
          <w:rFonts w:ascii="Arial" w:hAnsi="Arial" w:cs="Arial"/>
          <w:sz w:val="20"/>
          <w:szCs w:val="20"/>
        </w:rPr>
        <w:t>.</w:t>
      </w:r>
    </w:p>
    <w:p w14:paraId="20705D7F" w14:textId="77777777" w:rsidR="00BC78C6" w:rsidRPr="00E74CF8" w:rsidRDefault="00BC78C6" w:rsidP="00BC78C6">
      <w:pPr>
        <w:spacing w:after="0" w:line="240" w:lineRule="auto"/>
        <w:ind w:left="630" w:hanging="540"/>
        <w:jc w:val="both"/>
        <w:rPr>
          <w:rFonts w:ascii="Arial" w:eastAsia="Times New Roman" w:hAnsi="Arial" w:cs="Arial"/>
          <w:b/>
          <w:bCs/>
          <w:sz w:val="20"/>
          <w:szCs w:val="20"/>
        </w:rPr>
      </w:pPr>
    </w:p>
    <w:p w14:paraId="11BF824B" w14:textId="77777777" w:rsidR="00BC78C6" w:rsidRPr="009347EB" w:rsidRDefault="00BC78C6" w:rsidP="00BC78C6">
      <w:pPr>
        <w:pStyle w:val="ListParagraph"/>
        <w:numPr>
          <w:ilvl w:val="0"/>
          <w:numId w:val="30"/>
        </w:numPr>
        <w:spacing w:after="0" w:line="240" w:lineRule="auto"/>
        <w:ind w:left="630" w:hanging="540"/>
        <w:jc w:val="both"/>
        <w:rPr>
          <w:rFonts w:ascii="Arial" w:eastAsia="Times New Roman" w:hAnsi="Arial" w:cs="Arial"/>
          <w:sz w:val="20"/>
          <w:szCs w:val="20"/>
        </w:rPr>
      </w:pPr>
      <w:r w:rsidRPr="00284D85">
        <w:rPr>
          <w:rFonts w:ascii="Arial" w:eastAsia="Times New Roman" w:hAnsi="Arial" w:cs="Arial"/>
          <w:sz w:val="20"/>
          <w:szCs w:val="20"/>
        </w:rPr>
        <w:t xml:space="preserve">Ấn tượng ngữ âm tổng thể của một dấu hiệu chứa một yếu tố chữ phụ thuộc vào số lượng và trình </w:t>
      </w:r>
      <w:r w:rsidRPr="009347EB">
        <w:rPr>
          <w:rFonts w:ascii="Arial" w:eastAsia="Times New Roman" w:hAnsi="Arial" w:cs="Arial"/>
          <w:sz w:val="20"/>
          <w:szCs w:val="20"/>
        </w:rPr>
        <w:t xml:space="preserve">tự của các âm tiết của chữ, và cách thức từ đó được phát âm tại một nước cụ thể. Tương tự về phát âm sẽ được tìm thấy nếu âm thanh từ cách phát âm các yếu tố chữ trong dấu hiệu xung đột là như nhau, hoặc đủ gần để khó có thể </w:t>
      </w:r>
      <w:hyperlink r:id="rId18" w:history="1">
        <w:r w:rsidRPr="00CD3147">
          <w:rPr>
            <w:rStyle w:val="Hyperlink"/>
            <w:rFonts w:ascii="Arial" w:eastAsia="Times New Roman" w:hAnsi="Arial" w:cs="Arial"/>
            <w:sz w:val="20"/>
            <w:szCs w:val="20"/>
          </w:rPr>
          <w:t>phân biệt được bằng ngữ âm</w:t>
        </w:r>
      </w:hyperlink>
      <w:r w:rsidRPr="009347EB">
        <w:rPr>
          <w:rFonts w:ascii="Arial" w:eastAsia="Times New Roman" w:hAnsi="Arial" w:cs="Arial"/>
          <w:sz w:val="20"/>
          <w:szCs w:val="20"/>
        </w:rPr>
        <w:t>.</w:t>
      </w:r>
    </w:p>
    <w:p w14:paraId="7AF630B6" w14:textId="77777777" w:rsidR="00BC78C6" w:rsidRPr="009347EB" w:rsidRDefault="00BC78C6" w:rsidP="00BC78C6">
      <w:pPr>
        <w:spacing w:after="0" w:line="240" w:lineRule="auto"/>
        <w:ind w:left="630" w:hanging="540"/>
        <w:jc w:val="both"/>
        <w:rPr>
          <w:rFonts w:ascii="Arial" w:eastAsia="Times New Roman" w:hAnsi="Arial" w:cs="Arial"/>
          <w:b/>
          <w:bCs/>
          <w:sz w:val="20"/>
          <w:szCs w:val="20"/>
        </w:rPr>
      </w:pPr>
    </w:p>
    <w:p w14:paraId="51B7C288" w14:textId="77777777" w:rsidR="00BC78C6" w:rsidRPr="009347EB" w:rsidRDefault="00BC78C6" w:rsidP="00BC78C6">
      <w:pPr>
        <w:pStyle w:val="ListParagraph"/>
        <w:numPr>
          <w:ilvl w:val="0"/>
          <w:numId w:val="30"/>
        </w:numPr>
        <w:spacing w:after="0" w:line="240" w:lineRule="auto"/>
        <w:ind w:left="630" w:hanging="540"/>
        <w:jc w:val="both"/>
        <w:rPr>
          <w:rFonts w:ascii="Arial" w:hAnsi="Arial"/>
          <w:sz w:val="20"/>
        </w:rPr>
      </w:pPr>
      <w:r w:rsidRPr="009347EB">
        <w:rPr>
          <w:rFonts w:ascii="Arial" w:eastAsia="Times New Roman" w:hAnsi="Arial" w:cs="Arial"/>
          <w:sz w:val="20"/>
          <w:szCs w:val="20"/>
        </w:rPr>
        <w:t xml:space="preserve">Giá trị ngữ âm của một từ nước ngoài hoặc của một từ không thông dụng được xác định dựa trên cách phát âm bởi công chúng tại quốc gia liên quan. </w:t>
      </w:r>
      <w:r w:rsidRPr="009347EB">
        <w:rPr>
          <w:rFonts w:ascii="Arial" w:hAnsi="Arial"/>
          <w:sz w:val="20"/>
        </w:rPr>
        <w:t xml:space="preserve">Tuy nhiên, trong trường hợp có </w:t>
      </w:r>
      <w:r w:rsidRPr="009347EB">
        <w:rPr>
          <w:rFonts w:ascii="Arial" w:eastAsia="Times New Roman" w:hAnsi="Arial" w:cs="Arial"/>
          <w:sz w:val="20"/>
          <w:szCs w:val="20"/>
        </w:rPr>
        <w:t xml:space="preserve">sự khác biệt đáng kể giữa </w:t>
      </w:r>
      <w:r w:rsidRPr="009347EB">
        <w:rPr>
          <w:rFonts w:ascii="Arial" w:hAnsi="Arial"/>
          <w:sz w:val="20"/>
        </w:rPr>
        <w:t xml:space="preserve">các khu vực người tiêu dùng </w:t>
      </w:r>
      <w:r w:rsidRPr="009347EB">
        <w:rPr>
          <w:rFonts w:ascii="Arial" w:eastAsia="Times New Roman" w:hAnsi="Arial" w:cs="Arial"/>
          <w:sz w:val="20"/>
          <w:szCs w:val="20"/>
        </w:rPr>
        <w:t xml:space="preserve">trong cùng một quốc gia, cần xem xét tỷ lệ lớn của các nhóm người tiêu dùng </w:t>
      </w:r>
      <w:r w:rsidRPr="009347EB">
        <w:rPr>
          <w:rFonts w:ascii="Arial" w:hAnsi="Arial"/>
          <w:sz w:val="20"/>
        </w:rPr>
        <w:t>liên quan.</w:t>
      </w:r>
    </w:p>
    <w:p w14:paraId="11AEC489" w14:textId="77777777" w:rsidR="00BC78C6" w:rsidRPr="00E74CF8" w:rsidRDefault="00BC78C6" w:rsidP="00BC78C6">
      <w:pPr>
        <w:spacing w:after="0" w:line="240" w:lineRule="auto"/>
        <w:ind w:left="630" w:hanging="540"/>
        <w:jc w:val="both"/>
        <w:rPr>
          <w:rFonts w:ascii="Arial" w:eastAsia="Times New Roman" w:hAnsi="Arial" w:cs="Arial"/>
          <w:b/>
          <w:bCs/>
          <w:sz w:val="20"/>
          <w:szCs w:val="20"/>
        </w:rPr>
      </w:pPr>
    </w:p>
    <w:p w14:paraId="78B6692C" w14:textId="77777777" w:rsidR="00BC78C6" w:rsidRPr="00284D85" w:rsidRDefault="00BC78C6" w:rsidP="00BC78C6">
      <w:pPr>
        <w:pStyle w:val="ListParagraph"/>
        <w:numPr>
          <w:ilvl w:val="0"/>
          <w:numId w:val="30"/>
        </w:numPr>
        <w:spacing w:after="0" w:line="240" w:lineRule="auto"/>
        <w:ind w:left="630" w:hanging="540"/>
        <w:jc w:val="both"/>
        <w:rPr>
          <w:rFonts w:ascii="Arial" w:eastAsia="Times New Roman" w:hAnsi="Arial" w:cs="Arial"/>
          <w:sz w:val="20"/>
          <w:szCs w:val="20"/>
        </w:rPr>
      </w:pPr>
      <w:r w:rsidRPr="00284D85">
        <w:rPr>
          <w:rFonts w:ascii="Arial" w:eastAsia="Times New Roman" w:hAnsi="Arial" w:cs="Arial"/>
          <w:sz w:val="20"/>
          <w:szCs w:val="20"/>
        </w:rPr>
        <w:t xml:space="preserve">Khi so sánh hai dấu hiệu hỗn hợp nhằm tìm sự tương tự về ngữ âm, các yếu tố chữ thông thường được ưu tiên so với các yếu tố hình bởi vì người tiêu dùng có khuynh hướng đọc và </w:t>
      </w:r>
      <w:r>
        <w:rPr>
          <w:rFonts w:ascii="Arial" w:eastAsia="Times New Roman" w:hAnsi="Arial" w:cs="Arial"/>
          <w:sz w:val="20"/>
          <w:szCs w:val="20"/>
        </w:rPr>
        <w:t xml:space="preserve">ghi nhớ </w:t>
      </w:r>
      <w:r w:rsidRPr="00284D85">
        <w:rPr>
          <w:rFonts w:ascii="Arial" w:eastAsia="Times New Roman" w:hAnsi="Arial" w:cs="Arial"/>
          <w:sz w:val="20"/>
          <w:szCs w:val="20"/>
        </w:rPr>
        <w:t xml:space="preserve">chữ </w:t>
      </w:r>
      <w:r>
        <w:rPr>
          <w:rFonts w:ascii="Arial" w:eastAsia="Times New Roman" w:hAnsi="Arial" w:cs="Arial"/>
          <w:sz w:val="20"/>
          <w:szCs w:val="20"/>
        </w:rPr>
        <w:t xml:space="preserve">thay vì </w:t>
      </w:r>
      <w:r w:rsidRPr="00284D85">
        <w:rPr>
          <w:rFonts w:ascii="Arial" w:eastAsia="Times New Roman" w:hAnsi="Arial" w:cs="Arial"/>
          <w:sz w:val="20"/>
          <w:szCs w:val="20"/>
        </w:rPr>
        <w:t>yếu tố hình ảnh đi kèm.</w:t>
      </w:r>
    </w:p>
    <w:p w14:paraId="08EDC00A" w14:textId="77777777" w:rsidR="00BC78C6" w:rsidRPr="00E74CF8" w:rsidRDefault="00BC78C6" w:rsidP="00BC78C6">
      <w:pPr>
        <w:pStyle w:val="NormalWeb"/>
        <w:spacing w:before="0" w:beforeAutospacing="0" w:after="0" w:afterAutospacing="0"/>
        <w:jc w:val="both"/>
        <w:rPr>
          <w:rStyle w:val="Strong"/>
          <w:rFonts w:ascii="Arial" w:hAnsi="Arial" w:cs="Arial"/>
          <w:sz w:val="20"/>
          <w:szCs w:val="20"/>
        </w:rPr>
      </w:pPr>
    </w:p>
    <w:p w14:paraId="23ECE746" w14:textId="77777777" w:rsidR="00BC78C6" w:rsidRDefault="00BC78C6" w:rsidP="00BC78C6">
      <w:pPr>
        <w:pStyle w:val="NormalWeb"/>
        <w:spacing w:before="0" w:beforeAutospacing="0" w:after="0" w:afterAutospacing="0"/>
        <w:jc w:val="both"/>
        <w:rPr>
          <w:rStyle w:val="Strong"/>
          <w:rFonts w:ascii="Arial" w:hAnsi="Arial" w:cs="Arial"/>
          <w:sz w:val="20"/>
          <w:szCs w:val="20"/>
        </w:rPr>
      </w:pPr>
      <w:r w:rsidRPr="00E74CF8">
        <w:rPr>
          <w:rStyle w:val="Strong"/>
          <w:rFonts w:ascii="Arial" w:hAnsi="Arial" w:cs="Arial"/>
          <w:sz w:val="20"/>
          <w:szCs w:val="20"/>
        </w:rPr>
        <w:t xml:space="preserve">Về nguyên tắc số (i): </w:t>
      </w:r>
    </w:p>
    <w:p w14:paraId="52711F47" w14:textId="77777777" w:rsidR="00BC78C6" w:rsidRDefault="00BC78C6" w:rsidP="00BC78C6">
      <w:pPr>
        <w:pStyle w:val="NormalWeb"/>
        <w:spacing w:before="0" w:beforeAutospacing="0" w:after="0" w:afterAutospacing="0"/>
        <w:jc w:val="both"/>
        <w:rPr>
          <w:rStyle w:val="Strong"/>
          <w:rFonts w:ascii="Arial" w:hAnsi="Arial" w:cs="Arial"/>
          <w:sz w:val="20"/>
          <w:szCs w:val="20"/>
        </w:rPr>
      </w:pPr>
    </w:p>
    <w:p w14:paraId="58C9BF22" w14:textId="77777777" w:rsidR="00BC78C6" w:rsidRPr="00E74CF8" w:rsidRDefault="00BC78C6" w:rsidP="00BC78C6">
      <w:pPr>
        <w:pStyle w:val="NormalWeb"/>
        <w:spacing w:before="0" w:beforeAutospacing="0" w:after="0" w:afterAutospacing="0"/>
        <w:jc w:val="both"/>
        <w:rPr>
          <w:rFonts w:ascii="Arial" w:hAnsi="Arial" w:cs="Arial"/>
          <w:sz w:val="20"/>
          <w:szCs w:val="20"/>
        </w:rPr>
      </w:pPr>
      <w:r w:rsidRPr="00E74CF8">
        <w:rPr>
          <w:rFonts w:ascii="Arial" w:hAnsi="Arial" w:cs="Arial"/>
          <w:sz w:val="20"/>
          <w:szCs w:val="20"/>
        </w:rPr>
        <w:t xml:space="preserve">Nguyên tắc này cho phép so sánh ngữ âm ngay cả khi yếu tố chữ chứa yếu tố hình hoặc sử dụng ký tự, chữ, font, màu sắc đặc biệt. Trong trường hợp này, "Zhong Wu" </w:t>
      </w:r>
      <w:r>
        <w:rPr>
          <w:rFonts w:ascii="Arial" w:hAnsi="Arial" w:cs="Arial"/>
          <w:sz w:val="20"/>
          <w:szCs w:val="20"/>
        </w:rPr>
        <w:t>chứa</w:t>
      </w:r>
      <w:r w:rsidRPr="00E74CF8">
        <w:rPr>
          <w:rFonts w:ascii="Arial" w:hAnsi="Arial" w:cs="Arial"/>
          <w:sz w:val="20"/>
          <w:szCs w:val="20"/>
        </w:rPr>
        <w:t xml:space="preserve"> chữ Trung Quốc, "ZHONGYU" có yếu tố hình cách điệu, nhưng vẫn có thể so sánh ngữ âm.</w:t>
      </w:r>
    </w:p>
    <w:p w14:paraId="4EB65B1C" w14:textId="77777777" w:rsidR="00BC78C6" w:rsidRPr="00E74CF8" w:rsidRDefault="00BC78C6" w:rsidP="00BC78C6">
      <w:pPr>
        <w:spacing w:after="0" w:line="240" w:lineRule="auto"/>
        <w:jc w:val="both"/>
        <w:rPr>
          <w:rFonts w:ascii="Arial" w:eastAsia="Times New Roman" w:hAnsi="Arial" w:cs="Arial"/>
          <w:b/>
          <w:bCs/>
          <w:sz w:val="20"/>
          <w:szCs w:val="20"/>
        </w:rPr>
      </w:pPr>
    </w:p>
    <w:p w14:paraId="44D22042" w14:textId="77777777" w:rsidR="00BC78C6" w:rsidRPr="00E74CF8" w:rsidRDefault="00BC78C6" w:rsidP="00BC78C6">
      <w:pPr>
        <w:spacing w:after="0" w:line="240" w:lineRule="auto"/>
        <w:jc w:val="both"/>
        <w:rPr>
          <w:rFonts w:ascii="Arial" w:eastAsia="Times New Roman" w:hAnsi="Arial" w:cs="Arial"/>
          <w:b/>
          <w:bCs/>
          <w:sz w:val="20"/>
          <w:szCs w:val="20"/>
        </w:rPr>
      </w:pPr>
      <w:r w:rsidRPr="00E74CF8">
        <w:rPr>
          <w:rFonts w:ascii="Arial" w:eastAsia="Times New Roman" w:hAnsi="Arial" w:cs="Arial"/>
          <w:b/>
          <w:bCs/>
          <w:sz w:val="20"/>
          <w:szCs w:val="20"/>
        </w:rPr>
        <w:t>Về n</w:t>
      </w:r>
      <w:r w:rsidRPr="00C02899">
        <w:rPr>
          <w:rFonts w:ascii="Arial" w:eastAsia="Times New Roman" w:hAnsi="Arial" w:cs="Arial"/>
          <w:b/>
          <w:bCs/>
          <w:sz w:val="20"/>
          <w:szCs w:val="20"/>
        </w:rPr>
        <w:t>guyên tắc số (</w:t>
      </w:r>
      <w:r w:rsidRPr="00E74CF8">
        <w:rPr>
          <w:rFonts w:ascii="Arial" w:eastAsia="Times New Roman" w:hAnsi="Arial" w:cs="Arial"/>
          <w:b/>
          <w:bCs/>
          <w:sz w:val="20"/>
          <w:szCs w:val="20"/>
        </w:rPr>
        <w:t>ii</w:t>
      </w:r>
      <w:r w:rsidRPr="00C02899">
        <w:rPr>
          <w:rFonts w:ascii="Arial" w:eastAsia="Times New Roman" w:hAnsi="Arial" w:cs="Arial"/>
          <w:b/>
          <w:bCs/>
          <w:sz w:val="20"/>
          <w:szCs w:val="20"/>
        </w:rPr>
        <w:t>)</w:t>
      </w:r>
      <w:r w:rsidRPr="00E74CF8">
        <w:rPr>
          <w:rFonts w:ascii="Arial" w:eastAsia="Times New Roman" w:hAnsi="Arial" w:cs="Arial"/>
          <w:b/>
          <w:bCs/>
          <w:sz w:val="20"/>
          <w:szCs w:val="20"/>
        </w:rPr>
        <w:t xml:space="preserve"> và (iii)</w:t>
      </w:r>
      <w:r w:rsidRPr="00C02899">
        <w:rPr>
          <w:rFonts w:ascii="Arial" w:eastAsia="Times New Roman" w:hAnsi="Arial" w:cs="Arial"/>
          <w:b/>
          <w:bCs/>
          <w:sz w:val="20"/>
          <w:szCs w:val="20"/>
        </w:rPr>
        <w:t>:</w:t>
      </w:r>
    </w:p>
    <w:p w14:paraId="4C2C4AB5" w14:textId="77777777" w:rsidR="00BC78C6" w:rsidRPr="00C02899" w:rsidRDefault="00BC78C6" w:rsidP="00BC78C6">
      <w:pPr>
        <w:spacing w:after="0" w:line="240" w:lineRule="auto"/>
        <w:jc w:val="both"/>
        <w:rPr>
          <w:rFonts w:ascii="Arial" w:eastAsia="Times New Roman" w:hAnsi="Arial" w:cs="Arial"/>
          <w:sz w:val="20"/>
          <w:szCs w:val="20"/>
        </w:rPr>
      </w:pPr>
    </w:p>
    <w:p w14:paraId="5A3AED93" w14:textId="77777777" w:rsidR="00BC78C6" w:rsidRPr="00C02899" w:rsidRDefault="00BC78C6" w:rsidP="00BC78C6">
      <w:pPr>
        <w:numPr>
          <w:ilvl w:val="0"/>
          <w:numId w:val="26"/>
        </w:numPr>
        <w:tabs>
          <w:tab w:val="clear" w:pos="720"/>
        </w:tabs>
        <w:spacing w:after="0" w:line="240" w:lineRule="auto"/>
        <w:ind w:left="450" w:hanging="450"/>
        <w:jc w:val="both"/>
        <w:rPr>
          <w:rFonts w:ascii="Arial" w:eastAsia="Times New Roman" w:hAnsi="Arial" w:cs="Arial"/>
          <w:sz w:val="20"/>
          <w:szCs w:val="20"/>
        </w:rPr>
      </w:pPr>
      <w:r w:rsidRPr="00C02899">
        <w:rPr>
          <w:rFonts w:ascii="Arial" w:eastAsia="Times New Roman" w:hAnsi="Arial" w:cs="Arial"/>
          <w:b/>
          <w:bCs/>
          <w:sz w:val="20"/>
          <w:szCs w:val="20"/>
        </w:rPr>
        <w:t>Số lượng và trình tự âm tiết</w:t>
      </w:r>
      <w:r w:rsidRPr="00C02899">
        <w:rPr>
          <w:rFonts w:ascii="Arial" w:eastAsia="Times New Roman" w:hAnsi="Arial" w:cs="Arial"/>
          <w:sz w:val="20"/>
          <w:szCs w:val="20"/>
        </w:rPr>
        <w:t>: "Zhong Wu" có hai âm tiết, "ZHONGYU" có ba âm tiết. Trình tự âm tiết cũng khác nhau.</w:t>
      </w:r>
    </w:p>
    <w:p w14:paraId="21B908DB" w14:textId="77777777" w:rsidR="00BC78C6" w:rsidRPr="00C02899" w:rsidRDefault="00BC78C6" w:rsidP="00BC78C6">
      <w:pPr>
        <w:numPr>
          <w:ilvl w:val="0"/>
          <w:numId w:val="26"/>
        </w:numPr>
        <w:tabs>
          <w:tab w:val="clear" w:pos="720"/>
        </w:tabs>
        <w:spacing w:after="0" w:line="240" w:lineRule="auto"/>
        <w:ind w:left="450" w:hanging="450"/>
        <w:jc w:val="both"/>
        <w:rPr>
          <w:rFonts w:ascii="Arial" w:eastAsia="Times New Roman" w:hAnsi="Arial" w:cs="Arial"/>
          <w:sz w:val="20"/>
          <w:szCs w:val="20"/>
        </w:rPr>
      </w:pPr>
      <w:r w:rsidRPr="00C02899">
        <w:rPr>
          <w:rFonts w:ascii="Arial" w:eastAsia="Times New Roman" w:hAnsi="Arial" w:cs="Arial"/>
          <w:b/>
          <w:bCs/>
          <w:sz w:val="20"/>
          <w:szCs w:val="20"/>
        </w:rPr>
        <w:t>Nhịp điệu</w:t>
      </w:r>
      <w:r w:rsidRPr="00C02899">
        <w:rPr>
          <w:rFonts w:ascii="Arial" w:eastAsia="Times New Roman" w:hAnsi="Arial" w:cs="Arial"/>
          <w:sz w:val="20"/>
          <w:szCs w:val="20"/>
        </w:rPr>
        <w:t>: Nhịp điệu của hai từ là khác nhau khi phát âm. "Zhong Wu" có nhịp điệu 2/2, "ZHONGYU" có nhịp 3/2.</w:t>
      </w:r>
    </w:p>
    <w:p w14:paraId="529574FA" w14:textId="77777777" w:rsidR="00BC78C6" w:rsidRPr="00C02899" w:rsidRDefault="00BC78C6" w:rsidP="00BC78C6">
      <w:pPr>
        <w:numPr>
          <w:ilvl w:val="0"/>
          <w:numId w:val="26"/>
        </w:numPr>
        <w:tabs>
          <w:tab w:val="clear" w:pos="720"/>
        </w:tabs>
        <w:spacing w:after="0" w:line="240" w:lineRule="auto"/>
        <w:ind w:left="450" w:hanging="450"/>
        <w:jc w:val="both"/>
        <w:rPr>
          <w:rFonts w:ascii="Arial" w:eastAsia="Times New Roman" w:hAnsi="Arial" w:cs="Arial"/>
          <w:sz w:val="20"/>
          <w:szCs w:val="20"/>
        </w:rPr>
      </w:pPr>
      <w:r w:rsidRPr="00C02899">
        <w:rPr>
          <w:rFonts w:ascii="Arial" w:eastAsia="Times New Roman" w:hAnsi="Arial" w:cs="Arial"/>
          <w:b/>
          <w:bCs/>
          <w:sz w:val="20"/>
          <w:szCs w:val="20"/>
        </w:rPr>
        <w:t>Kết hợp nguyên tắc (</w:t>
      </w:r>
      <w:r w:rsidRPr="00E74CF8">
        <w:rPr>
          <w:rFonts w:ascii="Arial" w:eastAsia="Times New Roman" w:hAnsi="Arial" w:cs="Arial"/>
          <w:b/>
          <w:bCs/>
          <w:sz w:val="20"/>
          <w:szCs w:val="20"/>
        </w:rPr>
        <w:t>ii</w:t>
      </w:r>
      <w:r w:rsidRPr="00C02899">
        <w:rPr>
          <w:rFonts w:ascii="Arial" w:eastAsia="Times New Roman" w:hAnsi="Arial" w:cs="Arial"/>
          <w:b/>
          <w:bCs/>
          <w:sz w:val="20"/>
          <w:szCs w:val="20"/>
        </w:rPr>
        <w:t>)</w:t>
      </w:r>
      <w:r w:rsidRPr="00C02899">
        <w:rPr>
          <w:rFonts w:ascii="Arial" w:eastAsia="Times New Roman" w:hAnsi="Arial" w:cs="Arial"/>
          <w:sz w:val="20"/>
          <w:szCs w:val="20"/>
        </w:rPr>
        <w:t>: Phân tích cách phát âm của người Việt đối với hai từ này. Có thể người Việt sẽ phát âm "ZHONGYU" theo cách khác với người Trung Quốc, tạo ra sự khác biệt về ngữ âm rõ rệt hơn.</w:t>
      </w:r>
    </w:p>
    <w:p w14:paraId="4AB5763C" w14:textId="77777777" w:rsidR="00BC78C6" w:rsidRPr="00E74CF8" w:rsidRDefault="00BC78C6" w:rsidP="00BC78C6">
      <w:pPr>
        <w:spacing w:after="0" w:line="240" w:lineRule="auto"/>
        <w:jc w:val="both"/>
        <w:rPr>
          <w:rFonts w:ascii="Arial" w:eastAsia="Times New Roman" w:hAnsi="Arial" w:cs="Arial"/>
          <w:b/>
          <w:bCs/>
          <w:sz w:val="20"/>
          <w:szCs w:val="20"/>
        </w:rPr>
      </w:pPr>
    </w:p>
    <w:p w14:paraId="2E85A65A" w14:textId="77777777" w:rsidR="00BC78C6" w:rsidRPr="00E74CF8" w:rsidRDefault="00BC78C6" w:rsidP="00BC78C6">
      <w:pPr>
        <w:spacing w:after="0" w:line="240" w:lineRule="auto"/>
        <w:jc w:val="both"/>
        <w:rPr>
          <w:rFonts w:ascii="Arial" w:eastAsia="Times New Roman" w:hAnsi="Arial" w:cs="Arial"/>
          <w:b/>
          <w:bCs/>
          <w:sz w:val="20"/>
          <w:szCs w:val="20"/>
        </w:rPr>
      </w:pPr>
      <w:r w:rsidRPr="00E74CF8">
        <w:rPr>
          <w:rFonts w:ascii="Arial" w:eastAsia="Times New Roman" w:hAnsi="Arial" w:cs="Arial"/>
          <w:b/>
          <w:bCs/>
          <w:sz w:val="20"/>
          <w:szCs w:val="20"/>
        </w:rPr>
        <w:t>Về n</w:t>
      </w:r>
      <w:r w:rsidRPr="00D86BAA">
        <w:rPr>
          <w:rFonts w:ascii="Arial" w:eastAsia="Times New Roman" w:hAnsi="Arial" w:cs="Arial"/>
          <w:b/>
          <w:bCs/>
          <w:sz w:val="20"/>
          <w:szCs w:val="20"/>
        </w:rPr>
        <w:t>guyên tắc số (</w:t>
      </w:r>
      <w:r w:rsidRPr="00E74CF8">
        <w:rPr>
          <w:rFonts w:ascii="Arial" w:eastAsia="Times New Roman" w:hAnsi="Arial" w:cs="Arial"/>
          <w:b/>
          <w:bCs/>
          <w:sz w:val="20"/>
          <w:szCs w:val="20"/>
        </w:rPr>
        <w:t>iv</w:t>
      </w:r>
      <w:r w:rsidRPr="00D86BAA">
        <w:rPr>
          <w:rFonts w:ascii="Arial" w:eastAsia="Times New Roman" w:hAnsi="Arial" w:cs="Arial"/>
          <w:b/>
          <w:bCs/>
          <w:sz w:val="20"/>
          <w:szCs w:val="20"/>
        </w:rPr>
        <w:t>):</w:t>
      </w:r>
    </w:p>
    <w:p w14:paraId="584B9A45" w14:textId="77777777" w:rsidR="00BC78C6" w:rsidRPr="00E74CF8" w:rsidRDefault="00BC78C6" w:rsidP="00BC78C6">
      <w:pPr>
        <w:spacing w:after="0" w:line="240" w:lineRule="auto"/>
        <w:jc w:val="both"/>
        <w:rPr>
          <w:rFonts w:ascii="Arial" w:eastAsia="Times New Roman" w:hAnsi="Arial" w:cs="Arial"/>
          <w:b/>
          <w:bCs/>
          <w:sz w:val="20"/>
          <w:szCs w:val="20"/>
        </w:rPr>
      </w:pPr>
    </w:p>
    <w:p w14:paraId="676A1F28" w14:textId="77777777" w:rsidR="00BC78C6" w:rsidRPr="00E74CF8" w:rsidRDefault="00BC78C6" w:rsidP="00BC78C6">
      <w:pPr>
        <w:pStyle w:val="ListParagraph"/>
        <w:numPr>
          <w:ilvl w:val="0"/>
          <w:numId w:val="19"/>
        </w:numPr>
        <w:spacing w:after="0" w:line="240" w:lineRule="auto"/>
        <w:ind w:left="450" w:hanging="450"/>
        <w:jc w:val="both"/>
        <w:rPr>
          <w:rFonts w:ascii="Arial" w:eastAsia="Times New Roman" w:hAnsi="Arial" w:cs="Arial"/>
          <w:sz w:val="20"/>
          <w:szCs w:val="20"/>
        </w:rPr>
      </w:pPr>
      <w:r w:rsidRPr="00E74CF8">
        <w:rPr>
          <w:rFonts w:ascii="Arial" w:eastAsia="Times New Roman" w:hAnsi="Arial" w:cs="Arial"/>
          <w:b/>
          <w:bCs/>
          <w:sz w:val="20"/>
          <w:szCs w:val="20"/>
        </w:rPr>
        <w:t>Giá trị ngữ âm</w:t>
      </w:r>
      <w:r w:rsidRPr="00E74CF8">
        <w:rPr>
          <w:rFonts w:ascii="Arial" w:eastAsia="Times New Roman" w:hAnsi="Arial" w:cs="Arial"/>
          <w:sz w:val="20"/>
          <w:szCs w:val="20"/>
        </w:rPr>
        <w:t>: Cần xem xét cách người Việt Nam phát âm "Zhong Wu" và "ZHONGYU".</w:t>
      </w:r>
    </w:p>
    <w:p w14:paraId="6D3A366B" w14:textId="77777777" w:rsidR="00BC78C6" w:rsidRPr="00D86BAA" w:rsidRDefault="00BC78C6" w:rsidP="00BC78C6">
      <w:pPr>
        <w:numPr>
          <w:ilvl w:val="0"/>
          <w:numId w:val="27"/>
        </w:numPr>
        <w:spacing w:after="0" w:line="240" w:lineRule="auto"/>
        <w:ind w:left="450" w:hanging="450"/>
        <w:jc w:val="both"/>
        <w:rPr>
          <w:rFonts w:ascii="Arial" w:eastAsia="Times New Roman" w:hAnsi="Arial" w:cs="Arial"/>
          <w:sz w:val="20"/>
          <w:szCs w:val="20"/>
        </w:rPr>
      </w:pPr>
      <w:r w:rsidRPr="00D86BAA">
        <w:rPr>
          <w:rFonts w:ascii="Arial" w:eastAsia="Times New Roman" w:hAnsi="Arial" w:cs="Arial"/>
          <w:b/>
          <w:bCs/>
          <w:sz w:val="20"/>
          <w:szCs w:val="20"/>
        </w:rPr>
        <w:t>Từ nước ngoài</w:t>
      </w:r>
      <w:r w:rsidRPr="00D86BAA">
        <w:rPr>
          <w:rFonts w:ascii="Arial" w:eastAsia="Times New Roman" w:hAnsi="Arial" w:cs="Arial"/>
          <w:sz w:val="20"/>
          <w:szCs w:val="20"/>
        </w:rPr>
        <w:t>: "Zhong Wu" là từ tiếng Trung Quốc, do đó cần xem xét cả cách phát âm theo tiếng Trung và cách phát âm của người Việt Nam đối với từ này.</w:t>
      </w:r>
    </w:p>
    <w:p w14:paraId="6D468E7F" w14:textId="77777777" w:rsidR="00BC78C6" w:rsidRPr="00E74CF8" w:rsidRDefault="00BC78C6" w:rsidP="00BC78C6">
      <w:pPr>
        <w:pStyle w:val="NormalWeb"/>
        <w:spacing w:before="0" w:beforeAutospacing="0" w:after="0" w:afterAutospacing="0"/>
        <w:jc w:val="both"/>
        <w:rPr>
          <w:rFonts w:ascii="Arial" w:hAnsi="Arial" w:cs="Arial"/>
          <w:b/>
          <w:bCs/>
          <w:sz w:val="20"/>
          <w:szCs w:val="20"/>
        </w:rPr>
      </w:pPr>
    </w:p>
    <w:p w14:paraId="46D58011" w14:textId="77777777" w:rsidR="00BC78C6" w:rsidRPr="00E74CF8" w:rsidRDefault="00BC78C6" w:rsidP="00BC78C6">
      <w:pPr>
        <w:pStyle w:val="NormalWeb"/>
        <w:spacing w:before="0" w:beforeAutospacing="0" w:after="0" w:afterAutospacing="0"/>
        <w:jc w:val="both"/>
        <w:rPr>
          <w:rFonts w:ascii="Arial" w:hAnsi="Arial" w:cs="Arial"/>
          <w:b/>
          <w:bCs/>
          <w:sz w:val="20"/>
          <w:szCs w:val="20"/>
        </w:rPr>
      </w:pPr>
      <w:r w:rsidRPr="00E74CF8">
        <w:rPr>
          <w:rFonts w:ascii="Arial" w:hAnsi="Arial" w:cs="Arial"/>
          <w:b/>
          <w:bCs/>
          <w:sz w:val="20"/>
          <w:szCs w:val="20"/>
        </w:rPr>
        <w:t>Về nguyên tắc số (v):</w:t>
      </w:r>
    </w:p>
    <w:p w14:paraId="079EF59B" w14:textId="77777777" w:rsidR="00BC78C6" w:rsidRPr="00E74CF8" w:rsidRDefault="00BC78C6" w:rsidP="00BC78C6">
      <w:pPr>
        <w:pStyle w:val="NormalWeb"/>
        <w:spacing w:before="0" w:beforeAutospacing="0" w:after="0" w:afterAutospacing="0"/>
        <w:jc w:val="both"/>
        <w:rPr>
          <w:rFonts w:ascii="Arial" w:hAnsi="Arial" w:cs="Arial"/>
          <w:b/>
          <w:bCs/>
          <w:sz w:val="20"/>
          <w:szCs w:val="20"/>
        </w:rPr>
      </w:pPr>
    </w:p>
    <w:p w14:paraId="7840DE39" w14:textId="77777777" w:rsidR="00BC78C6" w:rsidRPr="00E74CF8" w:rsidRDefault="00BC78C6" w:rsidP="00BC78C6">
      <w:pPr>
        <w:pStyle w:val="NormalWeb"/>
        <w:numPr>
          <w:ilvl w:val="0"/>
          <w:numId w:val="19"/>
        </w:numPr>
        <w:spacing w:before="0" w:beforeAutospacing="0" w:after="0" w:afterAutospacing="0"/>
        <w:ind w:left="450" w:hanging="450"/>
        <w:jc w:val="both"/>
        <w:rPr>
          <w:rFonts w:ascii="Arial" w:hAnsi="Arial" w:cs="Arial"/>
          <w:sz w:val="20"/>
          <w:szCs w:val="20"/>
        </w:rPr>
      </w:pPr>
      <w:r w:rsidRPr="007561C0">
        <w:rPr>
          <w:rFonts w:ascii="Arial" w:hAnsi="Arial" w:cs="Arial"/>
          <w:b/>
          <w:bCs/>
          <w:sz w:val="20"/>
          <w:szCs w:val="20"/>
        </w:rPr>
        <w:t>Ưu tiên yếu tố chữ</w:t>
      </w:r>
      <w:r w:rsidRPr="00E74CF8">
        <w:rPr>
          <w:rFonts w:ascii="Arial" w:hAnsi="Arial" w:cs="Arial"/>
          <w:sz w:val="20"/>
          <w:szCs w:val="20"/>
        </w:rPr>
        <w:t>: Trong trường hợp này, yếu tố chữ "Zhong Wu" và "ZHONGYU" là yếu tố nổi bật, được người tiêu dùng chú ý hơn so với yếu tố hình. Do đó, sự khác biệt về ngữ âm giữa hai yếu tố chữ này sẽ được người tiêu dùng dễ dàng nhận ra.</w:t>
      </w:r>
    </w:p>
    <w:p w14:paraId="6B9A2345" w14:textId="77777777" w:rsidR="00BC78C6" w:rsidRPr="00E74CF8" w:rsidRDefault="00BC78C6" w:rsidP="00BC78C6">
      <w:pPr>
        <w:spacing w:after="0" w:line="240" w:lineRule="auto"/>
        <w:jc w:val="both"/>
        <w:rPr>
          <w:rFonts w:ascii="Arial" w:eastAsia="Times New Roman" w:hAnsi="Arial" w:cs="Arial"/>
          <w:sz w:val="20"/>
          <w:szCs w:val="20"/>
        </w:rPr>
      </w:pPr>
    </w:p>
    <w:p w14:paraId="134803EF" w14:textId="77777777" w:rsidR="00BC78C6" w:rsidRPr="00E74CF8" w:rsidRDefault="00BC78C6" w:rsidP="00BC78C6">
      <w:pPr>
        <w:spacing w:after="0" w:line="240" w:lineRule="auto"/>
        <w:jc w:val="both"/>
        <w:rPr>
          <w:rFonts w:ascii="Arial" w:eastAsia="Times New Roman" w:hAnsi="Arial" w:cs="Arial"/>
          <w:sz w:val="20"/>
          <w:szCs w:val="20"/>
        </w:rPr>
      </w:pPr>
      <w:r w:rsidRPr="00E74CF8">
        <w:rPr>
          <w:rFonts w:ascii="Arial" w:eastAsia="Times New Roman" w:hAnsi="Arial" w:cs="Arial"/>
          <w:sz w:val="20"/>
          <w:szCs w:val="20"/>
        </w:rPr>
        <w:t>Kết hợp các nguyên tắc trên, chủ đơn có thể xây dựng lập luận để chứng minh sự khác biệt ngữ âm giữa hai nhãn hiệu:</w:t>
      </w:r>
    </w:p>
    <w:p w14:paraId="4CCB90A9" w14:textId="77777777" w:rsidR="00BC78C6" w:rsidRPr="00E74CF8" w:rsidRDefault="00BC78C6" w:rsidP="00BC78C6">
      <w:pPr>
        <w:spacing w:after="0" w:line="240" w:lineRule="auto"/>
        <w:jc w:val="both"/>
        <w:rPr>
          <w:rFonts w:ascii="Arial" w:eastAsia="Times New Roman" w:hAnsi="Arial" w:cs="Arial"/>
          <w:sz w:val="20"/>
          <w:szCs w:val="20"/>
        </w:rPr>
      </w:pPr>
    </w:p>
    <w:p w14:paraId="38797D02" w14:textId="77777777" w:rsidR="00BC78C6" w:rsidRPr="00E74CF8" w:rsidRDefault="00BC78C6" w:rsidP="00BC78C6">
      <w:pPr>
        <w:pStyle w:val="ListParagraph"/>
        <w:numPr>
          <w:ilvl w:val="0"/>
          <w:numId w:val="28"/>
        </w:numPr>
        <w:spacing w:after="0" w:line="240" w:lineRule="auto"/>
        <w:ind w:left="450" w:hanging="450"/>
        <w:jc w:val="both"/>
        <w:rPr>
          <w:rFonts w:ascii="Arial" w:eastAsia="Times New Roman" w:hAnsi="Arial" w:cs="Arial"/>
          <w:sz w:val="20"/>
          <w:szCs w:val="20"/>
        </w:rPr>
      </w:pPr>
      <w:r w:rsidRPr="00EB6B47">
        <w:rPr>
          <w:rFonts w:ascii="Arial" w:eastAsia="Times New Roman" w:hAnsi="Arial" w:cs="Arial"/>
          <w:b/>
          <w:bCs/>
          <w:sz w:val="20"/>
          <w:szCs w:val="20"/>
        </w:rPr>
        <w:t>Phân tích chi tiết</w:t>
      </w:r>
      <w:r w:rsidRPr="00E74CF8">
        <w:rPr>
          <w:rFonts w:ascii="Arial" w:eastAsia="Times New Roman" w:hAnsi="Arial" w:cs="Arial"/>
          <w:sz w:val="20"/>
          <w:szCs w:val="20"/>
        </w:rPr>
        <w:t>: So sánh số lượng âm tiết, trình tự âm tiết, nhịp điệu và cách phát âm của hai từ.</w:t>
      </w:r>
    </w:p>
    <w:p w14:paraId="27BD98DC" w14:textId="6AC5E16B" w:rsidR="00BC78C6" w:rsidRPr="00E74CF8" w:rsidRDefault="00BC78C6" w:rsidP="00BC78C6">
      <w:pPr>
        <w:pStyle w:val="ListParagraph"/>
        <w:numPr>
          <w:ilvl w:val="0"/>
          <w:numId w:val="28"/>
        </w:numPr>
        <w:spacing w:after="0" w:line="240" w:lineRule="auto"/>
        <w:ind w:left="450" w:hanging="45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4465A841" wp14:editId="7DD407CD">
                <wp:simplePos x="0" y="0"/>
                <wp:positionH relativeFrom="column">
                  <wp:posOffset>6381750</wp:posOffset>
                </wp:positionH>
                <wp:positionV relativeFrom="paragraph">
                  <wp:posOffset>-276860</wp:posOffset>
                </wp:positionV>
                <wp:extent cx="346710" cy="10325735"/>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BE4D0" w14:textId="77777777" w:rsidR="00BC78C6" w:rsidRPr="00BA68B8" w:rsidRDefault="00BC78C6" w:rsidP="00BC78C6">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A841" id="Rectangle 13" o:spid="_x0000_s1030" style="position:absolute;left:0;text-align:left;margin-left:502.5pt;margin-top:-21.8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Mtog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" fillcolor="#00b39c" strokecolor="#00b39c" strokeweight="0">
                <v:textbox style="layout-flow:vertical">
                  <w:txbxContent>
                    <w:p w14:paraId="4E3BE4D0" w14:textId="77777777" w:rsidR="00BC78C6" w:rsidRPr="00BA68B8" w:rsidRDefault="00BC78C6" w:rsidP="00BC78C6">
                      <w:pPr>
                        <w:spacing w:after="0" w:line="240" w:lineRule="auto"/>
                        <w:rPr>
                          <w:rFonts w:ascii="Arial" w:hAnsi="Arial" w:cs="Arial"/>
                          <w:b/>
                          <w:color w:val="FFFFFF" w:themeColor="background1"/>
                          <w:sz w:val="20"/>
                          <w:szCs w:val="20"/>
                        </w:rPr>
                      </w:pPr>
                      <w:r w:rsidRPr="00BC78C6">
                        <w:rPr>
                          <w:rFonts w:ascii="Arial" w:hAnsi="Arial" w:cs="Arial"/>
                          <w:b/>
                          <w:bCs/>
                          <w:color w:val="FFFFFF" w:themeColor="background1"/>
                          <w:sz w:val="20"/>
                          <w:szCs w:val="20"/>
                        </w:rPr>
                        <w:t>Phân tích sự khác biệt giữa các nhãn hiệu ở Việt Nam</w:t>
                      </w:r>
                    </w:p>
                  </w:txbxContent>
                </v:textbox>
              </v:rect>
            </w:pict>
          </mc:Fallback>
        </mc:AlternateContent>
      </w:r>
      <w:r w:rsidRPr="00EB6B47">
        <w:rPr>
          <w:rFonts w:ascii="Arial" w:eastAsia="Times New Roman" w:hAnsi="Arial" w:cs="Arial"/>
          <w:b/>
          <w:bCs/>
          <w:sz w:val="20"/>
          <w:szCs w:val="20"/>
        </w:rPr>
        <w:t>Nhấn mạnh sự khác biệt</w:t>
      </w:r>
      <w:r w:rsidRPr="00E74CF8">
        <w:rPr>
          <w:rFonts w:ascii="Arial" w:eastAsia="Times New Roman" w:hAnsi="Arial" w:cs="Arial"/>
          <w:sz w:val="20"/>
          <w:szCs w:val="20"/>
        </w:rPr>
        <w:t xml:space="preserve">: Chỉ ra rằng sự khác biệt về ngữ âm đủ để người tiêu dùng </w:t>
      </w:r>
      <w:hyperlink r:id="rId19" w:history="1">
        <w:r w:rsidRPr="00872CF4">
          <w:rPr>
            <w:rStyle w:val="Hyperlink"/>
            <w:rFonts w:ascii="Arial" w:eastAsia="Times New Roman" w:hAnsi="Arial" w:cs="Arial"/>
            <w:sz w:val="20"/>
            <w:szCs w:val="20"/>
          </w:rPr>
          <w:t>phân biệt hai nhãn hiệu.</w:t>
        </w:r>
      </w:hyperlink>
    </w:p>
    <w:p w14:paraId="2F9DEF50" w14:textId="77777777" w:rsidR="00BC78C6" w:rsidRPr="00E74CF8" w:rsidRDefault="00BC78C6" w:rsidP="00BC78C6">
      <w:pPr>
        <w:pStyle w:val="ListParagraph"/>
        <w:numPr>
          <w:ilvl w:val="0"/>
          <w:numId w:val="28"/>
        </w:numPr>
        <w:spacing w:after="0" w:line="240" w:lineRule="auto"/>
        <w:ind w:left="450" w:hanging="450"/>
        <w:jc w:val="both"/>
        <w:rPr>
          <w:rFonts w:ascii="Arial" w:eastAsia="Times New Roman" w:hAnsi="Arial" w:cs="Arial"/>
          <w:sz w:val="20"/>
          <w:szCs w:val="20"/>
        </w:rPr>
      </w:pPr>
      <w:r w:rsidRPr="00EB6B47">
        <w:rPr>
          <w:rFonts w:ascii="Arial" w:eastAsia="Times New Roman" w:hAnsi="Arial" w:cs="Arial"/>
          <w:b/>
          <w:bCs/>
          <w:sz w:val="20"/>
          <w:szCs w:val="20"/>
        </w:rPr>
        <w:t>Kết hợp với các yếu tố khác</w:t>
      </w:r>
      <w:r w:rsidRPr="00E74CF8">
        <w:rPr>
          <w:rFonts w:ascii="Arial" w:eastAsia="Times New Roman" w:hAnsi="Arial" w:cs="Arial"/>
          <w:sz w:val="20"/>
          <w:szCs w:val="20"/>
        </w:rPr>
        <w:t>: Kết hợp phân tích ngữ âm với phân tích thị giác và ý nghĩa để củng cố lập luận về khả năng phân biệt của nhãn hiệu xin đăng ký.</w:t>
      </w:r>
    </w:p>
    <w:p w14:paraId="58F29D2A" w14:textId="77777777" w:rsidR="00BC78C6" w:rsidRPr="00E74CF8" w:rsidRDefault="00BC78C6" w:rsidP="00BC78C6">
      <w:pPr>
        <w:spacing w:after="0" w:line="240" w:lineRule="auto"/>
        <w:jc w:val="both"/>
        <w:rPr>
          <w:rFonts w:ascii="Arial" w:eastAsia="Times New Roman" w:hAnsi="Arial" w:cs="Arial"/>
          <w:sz w:val="20"/>
          <w:szCs w:val="20"/>
        </w:rPr>
      </w:pPr>
    </w:p>
    <w:p w14:paraId="6E842A93" w14:textId="77777777" w:rsidR="00BC78C6" w:rsidRPr="00E74CF8" w:rsidRDefault="00BC78C6" w:rsidP="00BC78C6">
      <w:pPr>
        <w:spacing w:after="0" w:line="240" w:lineRule="auto"/>
        <w:jc w:val="both"/>
        <w:rPr>
          <w:rFonts w:ascii="Arial" w:eastAsia="Times New Roman" w:hAnsi="Arial" w:cs="Arial"/>
          <w:sz w:val="20"/>
          <w:szCs w:val="20"/>
        </w:rPr>
      </w:pPr>
      <w:r w:rsidRPr="00E74CF8">
        <w:rPr>
          <w:rFonts w:ascii="Arial" w:eastAsia="Times New Roman" w:hAnsi="Arial" w:cs="Arial"/>
          <w:sz w:val="20"/>
          <w:szCs w:val="20"/>
        </w:rPr>
        <w:t xml:space="preserve">Tóm lại, </w:t>
      </w:r>
      <w:r>
        <w:rPr>
          <w:rFonts w:ascii="Arial" w:eastAsia="Times New Roman" w:hAnsi="Arial" w:cs="Arial"/>
          <w:sz w:val="20"/>
          <w:szCs w:val="20"/>
        </w:rPr>
        <w:t>nếu</w:t>
      </w:r>
      <w:r w:rsidRPr="00E74CF8">
        <w:rPr>
          <w:rFonts w:ascii="Arial" w:eastAsia="Times New Roman" w:hAnsi="Arial" w:cs="Arial"/>
          <w:sz w:val="20"/>
          <w:szCs w:val="20"/>
        </w:rPr>
        <w:t xml:space="preserve"> vận dụng hiệu quả các nguyên tắc so sánh ngữ âm, chủ đơn có thể thuyết phục Cục SHTT </w:t>
      </w:r>
      <w:r>
        <w:rPr>
          <w:rFonts w:ascii="Arial" w:eastAsia="Times New Roman" w:hAnsi="Arial" w:cs="Arial"/>
          <w:sz w:val="20"/>
          <w:szCs w:val="20"/>
        </w:rPr>
        <w:t xml:space="preserve">về sự khác biệt/khả năng phân biệt của phần “chữ” của nhãn hiệu xin đăng ký với phần “chữ” của nhãn hiệu đối chứng xét dưới góc độ </w:t>
      </w:r>
      <w:r w:rsidRPr="00E74CF8">
        <w:rPr>
          <w:rFonts w:ascii="Arial" w:eastAsia="Times New Roman" w:hAnsi="Arial" w:cs="Arial"/>
          <w:sz w:val="20"/>
          <w:szCs w:val="20"/>
        </w:rPr>
        <w:t>ngữ âm.</w:t>
      </w:r>
    </w:p>
    <w:p w14:paraId="5F622CD5" w14:textId="77777777" w:rsidR="00BC78C6" w:rsidRPr="00E74CF8" w:rsidRDefault="00BC78C6" w:rsidP="00BC78C6">
      <w:pPr>
        <w:spacing w:after="0" w:line="240" w:lineRule="auto"/>
        <w:jc w:val="both"/>
        <w:rPr>
          <w:rFonts w:ascii="Arial" w:eastAsia="Times New Roman" w:hAnsi="Arial" w:cs="Arial"/>
          <w:sz w:val="20"/>
          <w:szCs w:val="20"/>
        </w:rPr>
      </w:pPr>
    </w:p>
    <w:p w14:paraId="545EC2B7" w14:textId="77777777" w:rsidR="00BC78C6" w:rsidRPr="00EC26B7" w:rsidRDefault="00BC78C6" w:rsidP="00BC78C6">
      <w:pPr>
        <w:spacing w:after="0" w:line="240" w:lineRule="auto"/>
        <w:jc w:val="both"/>
        <w:rPr>
          <w:rFonts w:ascii="Arial" w:eastAsia="Times New Roman" w:hAnsi="Arial" w:cs="Arial"/>
          <w:b/>
          <w:bCs/>
          <w:color w:val="2F5496" w:themeColor="accent1" w:themeShade="BF"/>
        </w:rPr>
      </w:pPr>
      <w:r w:rsidRPr="00EC26B7">
        <w:rPr>
          <w:rFonts w:ascii="Arial" w:eastAsia="Times New Roman" w:hAnsi="Arial" w:cs="Arial"/>
          <w:b/>
          <w:bCs/>
          <w:color w:val="2F5496" w:themeColor="accent1" w:themeShade="BF"/>
        </w:rPr>
        <w:t>Lời kết</w:t>
      </w:r>
    </w:p>
    <w:p w14:paraId="5260D06E" w14:textId="77777777" w:rsidR="00BC78C6" w:rsidRPr="00E74CF8" w:rsidRDefault="00BC78C6" w:rsidP="00BC78C6">
      <w:pPr>
        <w:spacing w:after="0" w:line="240" w:lineRule="auto"/>
        <w:jc w:val="both"/>
        <w:rPr>
          <w:rFonts w:ascii="Arial" w:eastAsia="Times New Roman" w:hAnsi="Arial" w:cs="Arial"/>
          <w:sz w:val="20"/>
          <w:szCs w:val="20"/>
        </w:rPr>
      </w:pPr>
    </w:p>
    <w:p w14:paraId="6728DFA7" w14:textId="78FA34A3" w:rsidR="00BC78C6" w:rsidRPr="00F85FA7" w:rsidRDefault="00BC78C6" w:rsidP="00BC78C6">
      <w:pPr>
        <w:spacing w:after="0" w:line="240" w:lineRule="auto"/>
        <w:jc w:val="both"/>
        <w:rPr>
          <w:rFonts w:ascii="Arial" w:hAnsi="Arial" w:cs="Arial"/>
          <w:sz w:val="20"/>
          <w:szCs w:val="20"/>
        </w:rPr>
      </w:pPr>
      <w:r w:rsidRPr="00F85FA7">
        <w:rPr>
          <w:rFonts w:ascii="Arial" w:hAnsi="Arial" w:cs="Arial"/>
          <w:sz w:val="20"/>
          <w:szCs w:val="20"/>
        </w:rPr>
        <w:t xml:space="preserve">Ngay cả trong những vụ việc phức tạp với nhiều căn cứ từ chối, chủ đơn vẫn có thể khiếu nại thành công nếu có chiến lược pháp lý vững chắc, lập luận sắc bén, chứng cứ thuyết phục, cùng sự hỗ trợ của </w:t>
      </w:r>
      <w:r w:rsidRPr="00BC78C6">
        <w:rPr>
          <w:rFonts w:ascii="Arial" w:hAnsi="Arial" w:cs="Arial"/>
          <w:sz w:val="20"/>
          <w:szCs w:val="20"/>
        </w:rPr>
        <w:t>luật sư sở hữu trí tuệ giàu kinh nghiệm</w:t>
      </w:r>
      <w:r w:rsidRPr="00F85FA7">
        <w:rPr>
          <w:rFonts w:ascii="Arial" w:hAnsi="Arial" w:cs="Arial"/>
          <w:sz w:val="20"/>
          <w:szCs w:val="20"/>
        </w:rPr>
        <w:t xml:space="preserve">. Khiếu nại thành công không chỉ thể hiện sự am hiểu pháp lý và nỗ lực của người nộp đơn mà còn góp phần hỗ trợ Cục SHTT xem xét lại và </w:t>
      </w:r>
      <w:r w:rsidRPr="00E74CF8">
        <w:rPr>
          <w:rFonts w:ascii="Arial" w:hAnsi="Arial" w:cs="Arial"/>
          <w:sz w:val="20"/>
          <w:szCs w:val="20"/>
        </w:rPr>
        <w:t>và thay đổi quyết định ban đầu</w:t>
      </w:r>
      <w:r w:rsidRPr="00F85FA7">
        <w:rPr>
          <w:rFonts w:ascii="Arial" w:hAnsi="Arial" w:cs="Arial"/>
          <w:sz w:val="20"/>
          <w:szCs w:val="20"/>
        </w:rPr>
        <w:t>, đảm bảo quyền lợi chính đáng cho chủ sở hữu nhãn hiệu.</w:t>
      </w:r>
    </w:p>
    <w:p w14:paraId="261905C0" w14:textId="77777777" w:rsidR="00BC78C6" w:rsidRDefault="00BC78C6" w:rsidP="00BC78C6">
      <w:pPr>
        <w:spacing w:after="0" w:line="240" w:lineRule="auto"/>
        <w:jc w:val="both"/>
        <w:rPr>
          <w:rFonts w:ascii="Arial" w:hAnsi="Arial" w:cs="Arial"/>
          <w:sz w:val="20"/>
          <w:szCs w:val="20"/>
        </w:rPr>
      </w:pPr>
    </w:p>
    <w:p w14:paraId="4C637C99" w14:textId="29CFCF25" w:rsidR="00BC78C6" w:rsidRPr="00F85FA7" w:rsidRDefault="00BC78C6" w:rsidP="00BC78C6">
      <w:pPr>
        <w:spacing w:after="0" w:line="240" w:lineRule="auto"/>
        <w:jc w:val="both"/>
        <w:rPr>
          <w:rFonts w:ascii="Arial" w:hAnsi="Arial" w:cs="Arial"/>
          <w:sz w:val="20"/>
          <w:szCs w:val="20"/>
        </w:rPr>
      </w:pPr>
      <w:r w:rsidRPr="00E74CF8">
        <w:rPr>
          <w:rStyle w:val="Strong"/>
          <w:rFonts w:ascii="Arial" w:hAnsi="Arial" w:cs="Arial"/>
          <w:sz w:val="20"/>
          <w:szCs w:val="20"/>
        </w:rPr>
        <w:t xml:space="preserve">Bạn đang gặp khó khăn trong việc </w:t>
      </w:r>
      <w:hyperlink r:id="rId20" w:history="1">
        <w:r w:rsidRPr="00FE41A4">
          <w:rPr>
            <w:rStyle w:val="Hyperlink"/>
            <w:rFonts w:ascii="Arial" w:hAnsi="Arial" w:cs="Arial"/>
            <w:sz w:val="20"/>
            <w:szCs w:val="20"/>
          </w:rPr>
          <w:t>đăng ký bảo hộ nhãn hiệu</w:t>
        </w:r>
      </w:hyperlink>
      <w:r w:rsidRPr="00E74CF8">
        <w:rPr>
          <w:rStyle w:val="Strong"/>
          <w:rFonts w:ascii="Arial" w:hAnsi="Arial" w:cs="Arial"/>
          <w:sz w:val="20"/>
          <w:szCs w:val="20"/>
        </w:rPr>
        <w:t>? Nhãn hiệu của bạn đang đối mặt với quyết định từ chối?</w:t>
      </w:r>
      <w:r w:rsidRPr="00E74CF8">
        <w:rPr>
          <w:rFonts w:ascii="Arial" w:hAnsi="Arial" w:cs="Arial"/>
          <w:sz w:val="20"/>
          <w:szCs w:val="20"/>
        </w:rPr>
        <w:t xml:space="preserve"> Đừng để những trở ngại pháp lý ngăn cản bước tiến của thương hiệu. Hãy liên hệ ngay với </w:t>
      </w:r>
      <w:r w:rsidRPr="00E74CF8">
        <w:rPr>
          <w:rStyle w:val="Strong"/>
          <w:rFonts w:ascii="Arial" w:hAnsi="Arial" w:cs="Arial"/>
          <w:sz w:val="20"/>
          <w:szCs w:val="20"/>
        </w:rPr>
        <w:t>KENFOX IP &amp; Law Office</w:t>
      </w:r>
      <w:r w:rsidRPr="00E74CF8">
        <w:rPr>
          <w:rFonts w:ascii="Arial" w:hAnsi="Arial" w:cs="Arial"/>
          <w:sz w:val="20"/>
          <w:szCs w:val="20"/>
        </w:rPr>
        <w:t xml:space="preserve"> – với 15 năm kinh nghiệm trong lĩnh vực sở hữu trí tuệ, chúng tôi tự tin sẽ là đối tác tin cậy, đồng hành cùng bạn trên hành trình bảo vệ </w:t>
      </w:r>
      <w:r>
        <w:rPr>
          <w:rFonts w:ascii="Arial" w:hAnsi="Arial" w:cs="Arial"/>
          <w:sz w:val="20"/>
          <w:szCs w:val="20"/>
        </w:rPr>
        <w:t>hiệu quả nhãn hiệu của bạn</w:t>
      </w:r>
      <w:r w:rsidRPr="00E74CF8">
        <w:rPr>
          <w:rFonts w:ascii="Arial" w:hAnsi="Arial" w:cs="Arial"/>
          <w:sz w:val="20"/>
          <w:szCs w:val="20"/>
        </w:rPr>
        <w:t xml:space="preserve"> tại Việt Nam và các quốc gia</w:t>
      </w:r>
      <w:r>
        <w:rPr>
          <w:rFonts w:ascii="Arial" w:hAnsi="Arial" w:cs="Arial"/>
          <w:sz w:val="20"/>
          <w:szCs w:val="20"/>
        </w:rPr>
        <w:t xml:space="preserve"> khác</w:t>
      </w:r>
      <w:r w:rsidRPr="00E74CF8">
        <w:rPr>
          <w:rFonts w:ascii="Arial" w:hAnsi="Arial" w:cs="Arial"/>
          <w:sz w:val="20"/>
          <w:szCs w:val="20"/>
        </w:rPr>
        <w:t xml:space="preserve"> trên thế giới.</w:t>
      </w:r>
      <w:bookmarkStart w:id="0" w:name="_GoBack"/>
      <w:bookmarkEnd w:id="0"/>
    </w:p>
    <w:p w14:paraId="69B5CD14" w14:textId="35CB1251" w:rsidR="007375E8" w:rsidRPr="00D03044" w:rsidRDefault="007375E8" w:rsidP="00D03044">
      <w:pPr>
        <w:spacing w:after="0" w:line="240" w:lineRule="auto"/>
        <w:jc w:val="both"/>
        <w:rPr>
          <w:rFonts w:ascii="Arial" w:hAnsi="Arial" w:cs="Arial"/>
          <w:iCs/>
          <w:sz w:val="20"/>
          <w:szCs w:val="20"/>
        </w:rPr>
      </w:pPr>
    </w:p>
    <w:p w14:paraId="42CEDAEB" w14:textId="77777777" w:rsidR="00BC78C6" w:rsidRDefault="00BC78C6" w:rsidP="00BC78C6">
      <w:pPr>
        <w:spacing w:after="0" w:line="240" w:lineRule="auto"/>
        <w:jc w:val="right"/>
        <w:rPr>
          <w:rFonts w:ascii="Arial" w:hAnsi="Arial" w:cs="Arial"/>
          <w:b/>
          <w:sz w:val="20"/>
          <w:szCs w:val="20"/>
        </w:rPr>
      </w:pPr>
      <w:r>
        <w:rPr>
          <w:rFonts w:ascii="Arial" w:hAnsi="Arial" w:cs="Arial"/>
          <w:b/>
          <w:sz w:val="20"/>
          <w:szCs w:val="20"/>
        </w:rPr>
        <w:t>Nguyễn Vũ Quân | Partner, IP Attorney</w:t>
      </w:r>
    </w:p>
    <w:p w14:paraId="14B136ED" w14:textId="77777777" w:rsidR="00BC78C6" w:rsidRDefault="00BC78C6" w:rsidP="00BC78C6">
      <w:pPr>
        <w:spacing w:after="0" w:line="240" w:lineRule="auto"/>
        <w:jc w:val="right"/>
        <w:rPr>
          <w:rFonts w:ascii="Arial" w:hAnsi="Arial" w:cs="Arial"/>
          <w:b/>
          <w:sz w:val="20"/>
          <w:szCs w:val="20"/>
        </w:rPr>
      </w:pPr>
      <w:r>
        <w:rPr>
          <w:rFonts w:ascii="Arial" w:hAnsi="Arial" w:cs="Arial"/>
          <w:b/>
          <w:sz w:val="20"/>
          <w:szCs w:val="20"/>
        </w:rPr>
        <w:t>Đỗ Thị Phấn |Special Counsel</w:t>
      </w:r>
    </w:p>
    <w:p w14:paraId="6D94D57F" w14:textId="77777777" w:rsidR="00BC78C6" w:rsidRDefault="00BC78C6" w:rsidP="00BC78C6">
      <w:pPr>
        <w:spacing w:after="0" w:line="240" w:lineRule="auto"/>
        <w:jc w:val="right"/>
        <w:rPr>
          <w:rFonts w:ascii="Arial" w:hAnsi="Arial" w:cs="Arial"/>
          <w:b/>
          <w:sz w:val="20"/>
          <w:szCs w:val="20"/>
        </w:rPr>
      </w:pPr>
      <w:r>
        <w:rPr>
          <w:rFonts w:ascii="Arial" w:hAnsi="Arial" w:cs="Arial"/>
          <w:b/>
          <w:sz w:val="20"/>
          <w:szCs w:val="20"/>
        </w:rPr>
        <w:t>Hoàng Thị Tuyết Hồng | Senior Trademark Attorney</w:t>
      </w:r>
    </w:p>
    <w:p w14:paraId="3F608625" w14:textId="682A88CC" w:rsidR="006E236C" w:rsidRDefault="006E236C" w:rsidP="006E236C">
      <w:pPr>
        <w:spacing w:after="0" w:line="240" w:lineRule="auto"/>
        <w:jc w:val="right"/>
        <w:rPr>
          <w:rFonts w:ascii="Arial" w:hAnsi="Arial" w:cs="Arial"/>
          <w:b/>
          <w:sz w:val="20"/>
          <w:szCs w:val="20"/>
        </w:rPr>
      </w:pPr>
    </w:p>
    <w:p w14:paraId="14A8B26E" w14:textId="5CE27947"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244E363A" w:rsidR="0002156E" w:rsidRPr="00D03044" w:rsidRDefault="0002156E" w:rsidP="0002156E">
      <w:pPr>
        <w:spacing w:after="0" w:line="240" w:lineRule="auto"/>
        <w:rPr>
          <w:rFonts w:ascii="Arial" w:hAnsi="Arial" w:cs="Arial"/>
        </w:rPr>
      </w:pPr>
    </w:p>
    <w:p w14:paraId="5C6FA545" w14:textId="77539386" w:rsidR="0002156E" w:rsidRPr="00D03044" w:rsidRDefault="006E236C"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22AA6FE6">
                <wp:simplePos x="0" y="0"/>
                <wp:positionH relativeFrom="column">
                  <wp:posOffset>3810</wp:posOffset>
                </wp:positionH>
                <wp:positionV relativeFrom="paragraph">
                  <wp:posOffset>38100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margin-left:.3pt;margin-top:3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C3826" w14:textId="77777777" w:rsidR="007E3ADC" w:rsidRDefault="007E3ADC">
      <w:pPr>
        <w:spacing w:after="0" w:line="240" w:lineRule="auto"/>
      </w:pPr>
      <w:r>
        <w:separator/>
      </w:r>
    </w:p>
  </w:endnote>
  <w:endnote w:type="continuationSeparator" w:id="0">
    <w:p w14:paraId="2D1AAC76" w14:textId="77777777" w:rsidR="007E3ADC" w:rsidRDefault="007E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E3AD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E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91CD" w14:textId="77777777" w:rsidR="007E3ADC" w:rsidRDefault="007E3ADC">
      <w:pPr>
        <w:spacing w:after="0" w:line="240" w:lineRule="auto"/>
      </w:pPr>
      <w:r>
        <w:separator/>
      </w:r>
    </w:p>
  </w:footnote>
  <w:footnote w:type="continuationSeparator" w:id="0">
    <w:p w14:paraId="419A9BF4" w14:textId="77777777" w:rsidR="007E3ADC" w:rsidRDefault="007E3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2338D"/>
    <w:multiLevelType w:val="multilevel"/>
    <w:tmpl w:val="DC4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6414A"/>
    <w:multiLevelType w:val="multilevel"/>
    <w:tmpl w:val="EA48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343A"/>
    <w:multiLevelType w:val="multilevel"/>
    <w:tmpl w:val="84A0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C4594"/>
    <w:multiLevelType w:val="hybridMultilevel"/>
    <w:tmpl w:val="E21CE51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443B3"/>
    <w:multiLevelType w:val="multilevel"/>
    <w:tmpl w:val="EFB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759D4"/>
    <w:multiLevelType w:val="multilevel"/>
    <w:tmpl w:val="AF4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77376"/>
    <w:multiLevelType w:val="hybridMultilevel"/>
    <w:tmpl w:val="9324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F385D"/>
    <w:multiLevelType w:val="hybridMultilevel"/>
    <w:tmpl w:val="2C46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01989"/>
    <w:multiLevelType w:val="multilevel"/>
    <w:tmpl w:val="CB7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B204C"/>
    <w:multiLevelType w:val="multilevel"/>
    <w:tmpl w:val="93B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C0575"/>
    <w:multiLevelType w:val="multilevel"/>
    <w:tmpl w:val="024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32785"/>
    <w:multiLevelType w:val="hybridMultilevel"/>
    <w:tmpl w:val="AB626494"/>
    <w:lvl w:ilvl="0" w:tplc="DE54EC0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0"/>
  </w:num>
  <w:num w:numId="4">
    <w:abstractNumId w:val="26"/>
  </w:num>
  <w:num w:numId="5">
    <w:abstractNumId w:val="22"/>
  </w:num>
  <w:num w:numId="6">
    <w:abstractNumId w:val="0"/>
  </w:num>
  <w:num w:numId="7">
    <w:abstractNumId w:val="6"/>
  </w:num>
  <w:num w:numId="8">
    <w:abstractNumId w:val="27"/>
  </w:num>
  <w:num w:numId="9">
    <w:abstractNumId w:val="10"/>
  </w:num>
  <w:num w:numId="10">
    <w:abstractNumId w:val="4"/>
  </w:num>
  <w:num w:numId="11">
    <w:abstractNumId w:val="25"/>
  </w:num>
  <w:num w:numId="12">
    <w:abstractNumId w:val="2"/>
  </w:num>
  <w:num w:numId="13">
    <w:abstractNumId w:val="21"/>
  </w:num>
  <w:num w:numId="14">
    <w:abstractNumId w:val="24"/>
  </w:num>
  <w:num w:numId="15">
    <w:abstractNumId w:val="15"/>
  </w:num>
  <w:num w:numId="16">
    <w:abstractNumId w:val="28"/>
  </w:num>
  <w:num w:numId="17">
    <w:abstractNumId w:val="3"/>
  </w:num>
  <w:num w:numId="18">
    <w:abstractNumId w:val="17"/>
  </w:num>
  <w:num w:numId="19">
    <w:abstractNumId w:val="8"/>
  </w:num>
  <w:num w:numId="20">
    <w:abstractNumId w:val="11"/>
  </w:num>
  <w:num w:numId="21">
    <w:abstractNumId w:val="19"/>
  </w:num>
  <w:num w:numId="22">
    <w:abstractNumId w:val="18"/>
  </w:num>
  <w:num w:numId="23">
    <w:abstractNumId w:val="5"/>
  </w:num>
  <w:num w:numId="24">
    <w:abstractNumId w:val="7"/>
  </w:num>
  <w:num w:numId="25">
    <w:abstractNumId w:val="16"/>
  </w:num>
  <w:num w:numId="26">
    <w:abstractNumId w:val="1"/>
  </w:num>
  <w:num w:numId="27">
    <w:abstractNumId w:val="12"/>
  </w:num>
  <w:num w:numId="28">
    <w:abstractNumId w:val="14"/>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E236C"/>
    <w:rsid w:val="006F1BC0"/>
    <w:rsid w:val="007375E8"/>
    <w:rsid w:val="00745E08"/>
    <w:rsid w:val="00754940"/>
    <w:rsid w:val="007730A1"/>
    <w:rsid w:val="007C392A"/>
    <w:rsid w:val="007E3ADC"/>
    <w:rsid w:val="00813493"/>
    <w:rsid w:val="00820E66"/>
    <w:rsid w:val="008366D4"/>
    <w:rsid w:val="008416E5"/>
    <w:rsid w:val="00905D7C"/>
    <w:rsid w:val="00933532"/>
    <w:rsid w:val="00A4177F"/>
    <w:rsid w:val="00A623C4"/>
    <w:rsid w:val="00AC74F1"/>
    <w:rsid w:val="00AF0703"/>
    <w:rsid w:val="00B929FC"/>
    <w:rsid w:val="00BC78C6"/>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522733">
      <w:bodyDiv w:val="1"/>
      <w:marLeft w:val="0"/>
      <w:marRight w:val="0"/>
      <w:marTop w:val="0"/>
      <w:marBottom w:val="0"/>
      <w:divBdr>
        <w:top w:val="none" w:sz="0" w:space="0" w:color="auto"/>
        <w:left w:val="none" w:sz="0" w:space="0" w:color="auto"/>
        <w:bottom w:val="none" w:sz="0" w:space="0" w:color="auto"/>
        <w:right w:val="none" w:sz="0" w:space="0" w:color="auto"/>
      </w:divBdr>
    </w:div>
    <w:div w:id="18955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kenfox-ip-law-office-doi-tac-shtt-chien-luoc-cua-ban-2" TargetMode="External"/><Relationship Id="rId13" Type="http://schemas.openxmlformats.org/officeDocument/2006/relationships/hyperlink" Target="https://kenfoxlaw.com/luat-shtt-nam-2022-cua-viet-nam-nhung-quy-dinh-moi-ve-nhan-hieu-co-y-nghia-nhu-the-nao-toi-chien-luoc-bao-ve-thuong-hieu-cua-ban" TargetMode="External"/><Relationship Id="rId18" Type="http://schemas.openxmlformats.org/officeDocument/2006/relationships/hyperlink" Target="https://kenfoxlaw.com/vi/thu-thap-bang-chung-thuyet-phuc-chia-khoa-chien-thang-trong-bao-ho-nhan-hieu-phi-truyen-thong-tai-viet-n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enfoxlaw.com/vi/khi-nao-tinh-tiet-moi-duoc-chap-nhan-trong-khieu-nai-ve-so-huu-tri-tue-tai-viet-nam" TargetMode="External"/><Relationship Id="rId12" Type="http://schemas.openxmlformats.org/officeDocument/2006/relationships/image" Target="media/image3.jpeg"/><Relationship Id="rId17" Type="http://schemas.openxmlformats.org/officeDocument/2006/relationships/hyperlink" Target="https://kenfoxlaw.com/giong-ma-khong-giong-dau-la-nguong-phan-biet-cac-nhan-hieu-tuong-tu-tai-viet-nam" TargetMode="External"/><Relationship Id="rId2" Type="http://schemas.openxmlformats.org/officeDocument/2006/relationships/styles" Target="styles.xml"/><Relationship Id="rId16" Type="http://schemas.openxmlformats.org/officeDocument/2006/relationships/hyperlink" Target="https://kenfoxlaw.com/vi/nhan-hieu-chu-trung-quoc-van-duoc-bao-ho-hay-da-het-thoi" TargetMode="External"/><Relationship Id="rId20" Type="http://schemas.openxmlformats.org/officeDocument/2006/relationships/hyperlink" Target="https://kenfoxlaw.com/vi/dang-ky-nhan-hieu-voi-dung-y-xau-lam-sao-chung-minh-y-dinh-dong-co-cua-nguoi-nop-d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kenfoxlaw.com/vi/giong-ma-khong-giong-dau-la-nguong-phan-biet-cac-nhan-hieu-tuong-tu-tai-viet-nam-2" TargetMode="External"/><Relationship Id="rId4" Type="http://schemas.openxmlformats.org/officeDocument/2006/relationships/webSettings" Target="webSettings.xml"/><Relationship Id="rId9" Type="http://schemas.openxmlformats.org/officeDocument/2006/relationships/hyperlink" Target="https://kenfoxlaw.com/cach-tiep-can-de-vuot-qua-tu-choi-bao-ho-nhan-hieu-xin-dang-ky-tuong-tu-voi-nhan-hieu-doi-chung-da-het-hieu-luc-tai-viet-nam"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2025-02-21T11:52:00Z</cp:lastPrinted>
  <dcterms:created xsi:type="dcterms:W3CDTF">2023-02-07T03:35:00Z</dcterms:created>
  <dcterms:modified xsi:type="dcterms:W3CDTF">2025-02-21T11:52:00Z</dcterms:modified>
</cp:coreProperties>
</file>